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21 августа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к газораспределительным сетям АО «Газпром газораспределение» на территории Астраханской области за 2 квартал 2025 года</w:t>
      </w:r>
    </w:p>
    <w:p>
      <w:pPr>
        <w:pStyle w:val="ListParagraph"/>
        <w:ind w:hanging="219" w:left="92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Докладчик</w:t>
      </w:r>
      <w:r>
        <w:rPr>
          <w:b/>
          <w:sz w:val="26"/>
          <w:szCs w:val="26"/>
          <w:u w:val="single"/>
        </w:rPr>
        <w:t>:</w:t>
      </w:r>
    </w:p>
    <w:p>
      <w:pPr>
        <w:pStyle w:val="ListParagraph"/>
        <w:ind w:firstLine="77" w:left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Джаналиева Руфия Зарифовна</w:t>
      </w:r>
      <w:r>
        <w:rPr>
          <w:bCs/>
          <w:sz w:val="26"/>
          <w:szCs w:val="26"/>
        </w:rPr>
        <w:t xml:space="preserve"> – </w:t>
      </w:r>
      <w:r>
        <w:rPr>
          <w:sz w:val="26"/>
          <w:szCs w:val="26"/>
        </w:rPr>
        <w:t>начальник отдела технической оценки службы по тарифам Астраханской области</w:t>
      </w:r>
    </w:p>
    <w:p>
      <w:pPr>
        <w:pStyle w:val="ListParagraph"/>
        <w:tabs>
          <w:tab w:val="clear" w:pos="708"/>
          <w:tab w:val="left" w:pos="3900" w:leader="none"/>
        </w:tabs>
        <w:ind w:hanging="219" w:left="928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Приглашенные:</w:t>
      </w:r>
    </w:p>
    <w:p>
      <w:pPr>
        <w:pStyle w:val="ListParagraph"/>
        <w:widowControl w:val="false"/>
        <w:suppressAutoHyphens w:val="true"/>
        <w:bidi w:val="0"/>
        <w:spacing w:lineRule="auto" w:line="240"/>
        <w:ind w:firstLine="77" w:left="851"/>
        <w:jc w:val="both"/>
        <w:rPr>
          <w:sz w:val="26"/>
          <w:szCs w:val="26"/>
        </w:rPr>
      </w:pP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- представитель министерства промышленности, торговли и энергетики Астраханской области</w:t>
      </w:r>
    </w:p>
    <w:p>
      <w:pPr>
        <w:pStyle w:val="ListParagraph"/>
        <w:ind w:firstLine="77" w:left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представители организации: 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227" w:left="850" w:right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>Смольянинова Анна Георгиевна</w:t>
      </w:r>
      <w:r>
        <w:rPr>
          <w:bCs/>
          <w:sz w:val="26"/>
          <w:szCs w:val="26"/>
        </w:rPr>
        <w:t xml:space="preserve"> – начальник отдела реализации проектов технологического присоединения Управления реконструкции и технологического присоединения ООО «Газпром межрегионгаз»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227" w:left="850" w:right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Григорьева Гульнара Рауфовна </w:t>
      </w:r>
      <w:r>
        <w:rPr>
          <w:bCs/>
          <w:sz w:val="26"/>
          <w:szCs w:val="26"/>
        </w:rPr>
        <w:t>– заместитель начальника Управления реконструкции и технологического присоединения ООО «Газпром межрегионгаз»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227" w:left="850" w:right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>Семенютин Вадим Юрьевич</w:t>
      </w:r>
      <w:r>
        <w:rPr>
          <w:bCs/>
          <w:sz w:val="26"/>
          <w:szCs w:val="26"/>
        </w:rPr>
        <w:t xml:space="preserve"> – руководитель группы отдела реализации проектов технологического присоединения Управления реконструкции и технологического присоединения ООО «Газпром межрегионгаз»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227" w:left="850" w:right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>Халилов Руслан Милгаджадинович</w:t>
      </w:r>
      <w:r>
        <w:rPr>
          <w:bCs/>
          <w:sz w:val="26"/>
          <w:szCs w:val="26"/>
        </w:rPr>
        <w:t xml:space="preserve"> – начальник отдела реализации проектов филиала АО «Газпром газораспределение» в Астраханской области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firstLine="227" w:left="850" w:right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>Животова Валерия Викторовна</w:t>
      </w:r>
      <w:r>
        <w:rPr>
          <w:bCs/>
          <w:sz w:val="26"/>
          <w:szCs w:val="26"/>
        </w:rPr>
        <w:t xml:space="preserve"> – заместитель начальника отдела реализации проектов филиала АО «Газпром газораспределение» в Астраханской области.</w:t>
      </w:r>
    </w:p>
    <w:p>
      <w:pPr>
        <w:pStyle w:val="ListParagrap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LibreOffice/24.8.4.2$Linux_X86_64 LibreOffice_project/480$Build-2</Application>
  <AppVersion>15.0000</AppVersion>
  <Pages>1</Pages>
  <Words>164</Words>
  <Characters>1339</Characters>
  <CharactersWithSpaces>1524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2025-08-22T11:27:45Z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