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ED" w:rsidRDefault="007B0B71" w:rsidP="007B0B71">
      <w:pPr>
        <w:pStyle w:val="af"/>
        <w:jc w:val="center"/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ПАМЯТКА </w:t>
      </w:r>
      <w:r w:rsidR="00B91C11"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ПО РАСКРЫТИЮ </w:t>
      </w:r>
      <w:r w:rsidR="0049525B"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ИНФОРМАЦИИ</w:t>
      </w:r>
    </w:p>
    <w:p w:rsidR="00752B50" w:rsidRPr="007B0B71" w:rsidRDefault="007B0B71" w:rsidP="007B0B71">
      <w:pPr>
        <w:pStyle w:val="af"/>
        <w:jc w:val="center"/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B0B71">
        <w:rPr>
          <w:rStyle w:val="20"/>
          <w:sz w:val="32"/>
          <w:szCs w:val="32"/>
        </w:rPr>
        <w:t xml:space="preserve">организациями, осуществляющими деятельность в сфере </w:t>
      </w:r>
      <w:r w:rsidR="000549ED">
        <w:rPr>
          <w:rStyle w:val="20"/>
          <w:sz w:val="32"/>
          <w:szCs w:val="32"/>
        </w:rPr>
        <w:t xml:space="preserve">водоснабжения, </w:t>
      </w:r>
      <w:r w:rsidRPr="007B0B71">
        <w:rPr>
          <w:rStyle w:val="20"/>
          <w:sz w:val="32"/>
          <w:szCs w:val="32"/>
        </w:rPr>
        <w:t>водоотведения, в области обращения с твердыми коммунальными отходами.</w:t>
      </w: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427"/>
        <w:gridCol w:w="2691"/>
        <w:gridCol w:w="429"/>
        <w:gridCol w:w="3257"/>
        <w:gridCol w:w="13"/>
        <w:gridCol w:w="30"/>
        <w:gridCol w:w="4918"/>
      </w:tblGrid>
      <w:tr w:rsidR="0009462B" w:rsidRPr="00E856E4" w:rsidTr="0009462B">
        <w:trPr>
          <w:trHeight w:val="705"/>
        </w:trPr>
        <w:tc>
          <w:tcPr>
            <w:tcW w:w="15310" w:type="dxa"/>
            <w:gridSpan w:val="8"/>
          </w:tcPr>
          <w:p w:rsidR="0009462B" w:rsidRPr="00C738A8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38A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Раскрытие информации регулируемыми организациями (РО), осуществляющими деятельность в сфере водоснабжения и водоотведения</w:t>
            </w:r>
          </w:p>
          <w:p w:rsidR="0009462B" w:rsidRPr="00134C4C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09462B" w:rsidRPr="00E856E4" w:rsidTr="0009462B">
        <w:trPr>
          <w:trHeight w:val="390"/>
        </w:trPr>
        <w:tc>
          <w:tcPr>
            <w:tcW w:w="3545" w:type="dxa"/>
          </w:tcPr>
          <w:p w:rsidR="0009462B" w:rsidRPr="009640AD" w:rsidRDefault="0009462B" w:rsidP="000946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Информация, подлежащая раскрытию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09462B" w:rsidRPr="009640AD" w:rsidRDefault="0009462B" w:rsidP="0093047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раскрываемой информации</w:t>
            </w:r>
          </w:p>
        </w:tc>
        <w:tc>
          <w:tcPr>
            <w:tcW w:w="3686" w:type="dxa"/>
            <w:gridSpan w:val="2"/>
            <w:vAlign w:val="center"/>
          </w:tcPr>
          <w:p w:rsidR="0009462B" w:rsidRPr="009640AD" w:rsidRDefault="0009462B" w:rsidP="0093047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периодичность</w:t>
            </w:r>
          </w:p>
        </w:tc>
        <w:tc>
          <w:tcPr>
            <w:tcW w:w="4961" w:type="dxa"/>
            <w:gridSpan w:val="3"/>
            <w:vAlign w:val="center"/>
          </w:tcPr>
          <w:p w:rsidR="0009462B" w:rsidRPr="009640AD" w:rsidRDefault="0009462B" w:rsidP="0093047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представления информации (шаблон ЕИАС)</w:t>
            </w:r>
          </w:p>
        </w:tc>
      </w:tr>
      <w:tr w:rsidR="0009462B" w:rsidRPr="00E856E4" w:rsidTr="0009462B">
        <w:trPr>
          <w:trHeight w:val="898"/>
        </w:trPr>
        <w:tc>
          <w:tcPr>
            <w:tcW w:w="3545" w:type="dxa"/>
          </w:tcPr>
          <w:p w:rsidR="0009462B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 регулируемой организации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(общая информация) </w:t>
            </w:r>
          </w:p>
          <w:p w:rsidR="0009462B" w:rsidRPr="00D55DB1" w:rsidRDefault="0009462B" w:rsidP="000946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color w:val="FF0000"/>
                <w:w w:val="99"/>
                <w:sz w:val="19"/>
                <w:szCs w:val="19"/>
                <w:lang w:eastAsia="ru-RU"/>
              </w:rPr>
            </w:pPr>
            <w:r w:rsidRPr="00591894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п.18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color w:val="FF0000"/>
                <w:w w:val="99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п.39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color w:val="FF0000"/>
                <w:w w:val="99"/>
                <w:sz w:val="19"/>
                <w:szCs w:val="19"/>
                <w:lang w:eastAsia="ru-RU"/>
              </w:rPr>
            </w:pPr>
            <w:r w:rsidRPr="0031262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п.60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</w:t>
            </w:r>
          </w:p>
        </w:tc>
        <w:tc>
          <w:tcPr>
            <w:tcW w:w="3686" w:type="dxa"/>
            <w:gridSpan w:val="2"/>
          </w:tcPr>
          <w:p w:rsidR="0009462B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30 дней со дня внесения записи о гос. регистрации организации (ИП) в ЕГРЮЛ/ЕГРИП </w:t>
            </w:r>
          </w:p>
          <w:p w:rsidR="0009462B" w:rsidRPr="00A41A9B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37, 58, 79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</w:tc>
        <w:tc>
          <w:tcPr>
            <w:tcW w:w="4961" w:type="dxa"/>
            <w:gridSpan w:val="3"/>
          </w:tcPr>
          <w:p w:rsidR="0009462B" w:rsidRPr="004A43EC" w:rsidRDefault="0009462B" w:rsidP="004A43E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A43EC">
              <w:rPr>
                <w:lang w:val="en-US"/>
              </w:rPr>
              <w:t>PP108.OPEN.INFO.ORG.COLDVSNA.EIAS</w:t>
            </w:r>
          </w:p>
          <w:p w:rsidR="0009462B" w:rsidRPr="004A43EC" w:rsidRDefault="0009462B" w:rsidP="004A43E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A43EC">
              <w:rPr>
                <w:lang w:val="en-US"/>
              </w:rPr>
              <w:t>PP108.OPEN.INFO.ORG.VOTV.EIAS</w:t>
            </w:r>
          </w:p>
          <w:p w:rsidR="0009462B" w:rsidRPr="004A43EC" w:rsidRDefault="0009462B" w:rsidP="004A43E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A43EC">
              <w:rPr>
                <w:lang w:val="en-US"/>
              </w:rPr>
              <w:t>PP108.OPEN.INFO.ORG.HOTVSNA.EIAS</w:t>
            </w:r>
          </w:p>
        </w:tc>
      </w:tr>
      <w:tr w:rsidR="0009462B" w:rsidRPr="004A43EC" w:rsidTr="0009462B">
        <w:trPr>
          <w:trHeight w:val="900"/>
        </w:trPr>
        <w:tc>
          <w:tcPr>
            <w:tcW w:w="3545" w:type="dxa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основных показателях финансово-хозяйственной деятельности РО, включая структуру основных производственных затрат</w:t>
            </w: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п.21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п.42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31262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п.63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  <w:vMerge w:val="restart"/>
          </w:tcPr>
          <w:p w:rsidR="0009462B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hAnsi="Times New Roman" w:cs="Times New Roman"/>
                <w:sz w:val="19"/>
                <w:szCs w:val="19"/>
              </w:rPr>
              <w:t>Ежегодно, не позднее 30 апреля года, следующего за отчетным годом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32, 52, 73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  <w:vMerge w:val="restart"/>
          </w:tcPr>
          <w:p w:rsidR="0009462B" w:rsidRPr="004A43EC" w:rsidRDefault="006448F1" w:rsidP="004A43E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A43EC">
              <w:rPr>
                <w:lang w:val="en-US"/>
              </w:rPr>
              <w:t>PP108.OPEN.INFO.BALANCE.COLDVSNA.EIAS</w:t>
            </w:r>
          </w:p>
          <w:p w:rsidR="006448F1" w:rsidRPr="004A43EC" w:rsidRDefault="006448F1" w:rsidP="004A43E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A43EC">
              <w:rPr>
                <w:lang w:val="en-US"/>
              </w:rPr>
              <w:t>PP108.OPEN.INFO.BALANCE.VOTV.EIAS</w:t>
            </w:r>
          </w:p>
          <w:p w:rsidR="006448F1" w:rsidRPr="004A43EC" w:rsidRDefault="006448F1" w:rsidP="004A43E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A43EC">
              <w:rPr>
                <w:lang w:val="en-US"/>
              </w:rPr>
              <w:t>PP108.OPEN.INFO.BALANCE.HOTVSNA.EIAS</w:t>
            </w:r>
          </w:p>
        </w:tc>
      </w:tr>
      <w:tr w:rsidR="0009462B" w:rsidRPr="00E856E4" w:rsidTr="0009462B">
        <w:trPr>
          <w:trHeight w:val="986"/>
        </w:trPr>
        <w:tc>
          <w:tcPr>
            <w:tcW w:w="3545" w:type="dxa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основных потребительских характеристиках товаров (услуг), тарифы на которые подлежат регулированию, и их соответствие установленным требованиям</w:t>
            </w: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п.22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п.43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31262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п.64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  <w:vMerge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:rsidR="0009462B" w:rsidRPr="004A43EC" w:rsidRDefault="0009462B" w:rsidP="004A43E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4A43EC" w:rsidRPr="00E856E4" w:rsidTr="0009462B">
        <w:trPr>
          <w:trHeight w:val="1830"/>
        </w:trPr>
        <w:tc>
          <w:tcPr>
            <w:tcW w:w="3545" w:type="dxa"/>
            <w:vMerge w:val="restart"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инвестиционных программах РО и отчетах об их исполнении</w:t>
            </w:r>
          </w:p>
        </w:tc>
        <w:tc>
          <w:tcPr>
            <w:tcW w:w="3118" w:type="dxa"/>
            <w:gridSpan w:val="2"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«а»-«д»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(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u w:val="single"/>
                <w:lang w:eastAsia="ru-RU"/>
              </w:rPr>
              <w:t>за искл. факт. данных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), </w:t>
            </w: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«з» п.23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«а»-«д»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u w:val="single"/>
                <w:lang w:eastAsia="ru-RU"/>
              </w:rPr>
              <w:t>(за искл. факт. данных</w:t>
            </w:r>
            <w:r w:rsidRPr="00A41A9B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>),</w:t>
            </w: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«з» п.44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«а»-«д»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(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u w:val="single"/>
                <w:lang w:eastAsia="ru-RU"/>
              </w:rPr>
              <w:t>за искл. факт. данных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), </w:t>
            </w: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«з» п.65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</w:tcPr>
          <w:p w:rsidR="004A43EC" w:rsidRDefault="004A43EC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hAnsi="Times New Roman" w:cs="Times New Roman"/>
                <w:sz w:val="19"/>
                <w:szCs w:val="19"/>
              </w:rPr>
              <w:t>Не позднее 30 дней со дня утверждения инвестиционной программы организации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34, 54, 75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  <w:vMerge w:val="restart"/>
          </w:tcPr>
          <w:p w:rsidR="004A43EC" w:rsidRPr="004A43EC" w:rsidRDefault="004A43EC" w:rsidP="004A43EC">
            <w:pPr>
              <w:autoSpaceDE w:val="0"/>
              <w:autoSpaceDN w:val="0"/>
              <w:adjustRightInd w:val="0"/>
              <w:jc w:val="both"/>
            </w:pPr>
            <w:r w:rsidRPr="004A43EC">
              <w:rPr>
                <w:lang w:val="en-US"/>
              </w:rPr>
              <w:t>PP</w:t>
            </w:r>
            <w:r w:rsidRPr="004A43EC">
              <w:t>108.</w:t>
            </w:r>
            <w:r w:rsidRPr="004A43EC">
              <w:rPr>
                <w:lang w:val="en-US"/>
              </w:rPr>
              <w:t>OPEN</w:t>
            </w:r>
            <w:r w:rsidRPr="004A43EC">
              <w:t>.</w:t>
            </w:r>
            <w:r w:rsidRPr="004A43EC">
              <w:rPr>
                <w:lang w:val="en-US"/>
              </w:rPr>
              <w:t>INFO</w:t>
            </w:r>
            <w:r w:rsidRPr="004A43EC">
              <w:t>.</w:t>
            </w:r>
            <w:r w:rsidRPr="004A43EC">
              <w:rPr>
                <w:lang w:val="en-US"/>
              </w:rPr>
              <w:t>INVEST</w:t>
            </w:r>
            <w:r w:rsidRPr="004A43EC">
              <w:t>.</w:t>
            </w:r>
            <w:r w:rsidRPr="004A43EC">
              <w:rPr>
                <w:lang w:val="en-US"/>
              </w:rPr>
              <w:t>HOTVSNA</w:t>
            </w:r>
            <w:r w:rsidRPr="004A43EC">
              <w:t>.</w:t>
            </w:r>
            <w:r w:rsidRPr="004A43EC">
              <w:rPr>
                <w:lang w:val="en-US"/>
              </w:rPr>
              <w:t>EIAS</w:t>
            </w:r>
            <w:r w:rsidRPr="004A43EC">
              <w:br/>
            </w:r>
            <w:r w:rsidRPr="004A43EC">
              <w:rPr>
                <w:lang w:val="en-US"/>
              </w:rPr>
              <w:t>PP</w:t>
            </w:r>
            <w:r w:rsidRPr="004A43EC">
              <w:t>108.</w:t>
            </w:r>
            <w:r w:rsidRPr="004A43EC">
              <w:rPr>
                <w:lang w:val="en-US"/>
              </w:rPr>
              <w:t>OPEN</w:t>
            </w:r>
            <w:r w:rsidRPr="004A43EC">
              <w:t>.</w:t>
            </w:r>
            <w:r w:rsidRPr="004A43EC">
              <w:rPr>
                <w:lang w:val="en-US"/>
              </w:rPr>
              <w:t>INFO</w:t>
            </w:r>
            <w:r w:rsidRPr="004A43EC">
              <w:t>.</w:t>
            </w:r>
            <w:r w:rsidRPr="004A43EC">
              <w:rPr>
                <w:lang w:val="en-US"/>
              </w:rPr>
              <w:t>INVEST</w:t>
            </w:r>
            <w:r w:rsidRPr="004A43EC">
              <w:t>.</w:t>
            </w:r>
            <w:r w:rsidRPr="004A43EC">
              <w:rPr>
                <w:lang w:val="en-US"/>
              </w:rPr>
              <w:t>COLDVSNA</w:t>
            </w:r>
            <w:r w:rsidRPr="004A43EC">
              <w:t>.</w:t>
            </w:r>
            <w:r w:rsidRPr="004A43EC">
              <w:rPr>
                <w:lang w:val="en-US"/>
              </w:rPr>
              <w:t>EIAS</w:t>
            </w:r>
            <w:r w:rsidRPr="004A43EC">
              <w:br/>
            </w:r>
            <w:r w:rsidRPr="004A43EC">
              <w:rPr>
                <w:lang w:val="en-US"/>
              </w:rPr>
              <w:t>PP</w:t>
            </w:r>
            <w:r w:rsidRPr="004A43EC">
              <w:t>108.</w:t>
            </w:r>
            <w:r w:rsidRPr="004A43EC">
              <w:rPr>
                <w:lang w:val="en-US"/>
              </w:rPr>
              <w:t>OPEN</w:t>
            </w:r>
            <w:r w:rsidRPr="004A43EC">
              <w:t>.</w:t>
            </w:r>
            <w:r w:rsidRPr="004A43EC">
              <w:rPr>
                <w:lang w:val="en-US"/>
              </w:rPr>
              <w:t>INFO</w:t>
            </w:r>
            <w:r w:rsidRPr="004A43EC">
              <w:t>.</w:t>
            </w:r>
            <w:r w:rsidRPr="004A43EC">
              <w:rPr>
                <w:lang w:val="en-US"/>
              </w:rPr>
              <w:t>INVEST</w:t>
            </w:r>
            <w:r w:rsidRPr="004A43EC">
              <w:t>.</w:t>
            </w:r>
            <w:r w:rsidRPr="004A43EC">
              <w:rPr>
                <w:lang w:val="en-US"/>
              </w:rPr>
              <w:t>VOTV</w:t>
            </w:r>
            <w:r w:rsidRPr="004A43EC">
              <w:t>.</w:t>
            </w:r>
            <w:r w:rsidRPr="004A43EC">
              <w:rPr>
                <w:lang w:val="en-US"/>
              </w:rPr>
              <w:t>EIAS</w:t>
            </w:r>
          </w:p>
        </w:tc>
      </w:tr>
      <w:tr w:rsidR="004A43EC" w:rsidRPr="00E856E4" w:rsidTr="0009462B">
        <w:trPr>
          <w:trHeight w:val="2210"/>
        </w:trPr>
        <w:tc>
          <w:tcPr>
            <w:tcW w:w="3545" w:type="dxa"/>
            <w:vMerge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«д»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(</w:t>
            </w:r>
            <w:r w:rsidRPr="00826FE8">
              <w:rPr>
                <w:rFonts w:ascii="Times New Roman" w:eastAsia="Times New Roman" w:hAnsi="Times New Roman" w:cs="Arial"/>
                <w:w w:val="99"/>
                <w:sz w:val="19"/>
                <w:szCs w:val="19"/>
                <w:u w:val="single"/>
                <w:lang w:eastAsia="ru-RU"/>
              </w:rPr>
              <w:t>в отношении факт. данных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), </w:t>
            </w: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«е» п.23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«д»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(</w:t>
            </w:r>
            <w:r w:rsidRPr="00826FE8">
              <w:rPr>
                <w:rFonts w:ascii="Times New Roman" w:eastAsia="Times New Roman" w:hAnsi="Times New Roman" w:cs="Arial"/>
                <w:w w:val="99"/>
                <w:sz w:val="19"/>
                <w:szCs w:val="19"/>
                <w:u w:val="single"/>
                <w:lang w:eastAsia="ru-RU"/>
              </w:rPr>
              <w:t>в отношении факт. данных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), </w:t>
            </w: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«е» п.44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«д»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(</w:t>
            </w:r>
            <w:r w:rsidRPr="00826FE8">
              <w:rPr>
                <w:rFonts w:ascii="Times New Roman" w:eastAsia="Times New Roman" w:hAnsi="Times New Roman" w:cs="Arial"/>
                <w:w w:val="99"/>
                <w:sz w:val="19"/>
                <w:szCs w:val="19"/>
                <w:u w:val="single"/>
                <w:lang w:eastAsia="ru-RU"/>
              </w:rPr>
              <w:t>в отношении факт. данных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), </w:t>
            </w: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«е» п.65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</w:tcPr>
          <w:p w:rsidR="004A43EC" w:rsidRDefault="004A43EC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hAnsi="Times New Roman" w:cs="Times New Roman"/>
                <w:sz w:val="19"/>
                <w:szCs w:val="19"/>
              </w:rPr>
              <w:t>Ежегодно, не позднее 30 апреля года, следующего за отчетным годом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34, 55, 75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</w:tr>
      <w:tr w:rsidR="004A43EC" w:rsidRPr="00E856E4" w:rsidTr="006448F1">
        <w:trPr>
          <w:trHeight w:val="1425"/>
        </w:trPr>
        <w:tc>
          <w:tcPr>
            <w:tcW w:w="3545" w:type="dxa"/>
            <w:vMerge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«ж» п.23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«ж» п.44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«ж» п.65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</w:tcPr>
          <w:p w:rsidR="004A43EC" w:rsidRDefault="004A43EC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hAnsi="Times New Roman" w:cs="Times New Roman"/>
                <w:sz w:val="19"/>
                <w:szCs w:val="19"/>
              </w:rPr>
              <w:t>В течение 30 дней со дня принятия решения о корректировке инвестиционной программы организации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4A43EC" w:rsidRPr="00A41A9B" w:rsidRDefault="004A43EC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34, 55, 76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</w:tc>
        <w:tc>
          <w:tcPr>
            <w:tcW w:w="4961" w:type="dxa"/>
            <w:gridSpan w:val="3"/>
            <w:vMerge/>
          </w:tcPr>
          <w:p w:rsidR="004A43EC" w:rsidRPr="00A41A9B" w:rsidRDefault="004A43EC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9462B" w:rsidRPr="004A43EC" w:rsidTr="006448F1">
        <w:trPr>
          <w:trHeight w:val="1007"/>
        </w:trPr>
        <w:tc>
          <w:tcPr>
            <w:tcW w:w="3545" w:type="dxa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 тарифах на товары (услуги), подлежащих регулированию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п.19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20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п.40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41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31262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п.61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62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  <w:vMerge w:val="restart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hAnsi="Times New Roman" w:cs="Times New Roman"/>
                <w:sz w:val="19"/>
                <w:szCs w:val="19"/>
              </w:rPr>
              <w:t>Не позднее 30 дней со дня принятия решения об установлении тарифа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30, 51, 72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</w:tc>
        <w:tc>
          <w:tcPr>
            <w:tcW w:w="4961" w:type="dxa"/>
            <w:gridSpan w:val="3"/>
            <w:vMerge w:val="restart"/>
          </w:tcPr>
          <w:p w:rsidR="0009462B" w:rsidRDefault="006448F1" w:rsidP="00826FE8">
            <w:pPr>
              <w:autoSpaceDE w:val="0"/>
              <w:autoSpaceDN w:val="0"/>
              <w:adjustRightInd w:val="0"/>
              <w:jc w:val="both"/>
            </w:pPr>
            <w:r w:rsidRPr="009638FA">
              <w:t>PP108.OPEN.INFO.PRICE.COLDVSNA.EIAS.eias</w:t>
            </w:r>
          </w:p>
          <w:p w:rsidR="006448F1" w:rsidRPr="0031262B" w:rsidRDefault="006448F1" w:rsidP="00826FE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638FA">
              <w:rPr>
                <w:lang w:val="en-US"/>
              </w:rPr>
              <w:t>PP108.OPEN.INFO.PRICE.VOTV.EIAS</w:t>
            </w:r>
          </w:p>
          <w:p w:rsidR="006448F1" w:rsidRPr="006448F1" w:rsidRDefault="006448F1" w:rsidP="00826F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44E06">
              <w:rPr>
                <w:lang w:val="en-US"/>
              </w:rPr>
              <w:t>PP108.OPEN.INFO.PRICE.HOTVSNA.EIAS</w:t>
            </w:r>
          </w:p>
        </w:tc>
      </w:tr>
      <w:tr w:rsidR="0009462B" w:rsidRPr="00E856E4" w:rsidTr="006448F1">
        <w:trPr>
          <w:trHeight w:val="1397"/>
        </w:trPr>
        <w:tc>
          <w:tcPr>
            <w:tcW w:w="3545" w:type="dxa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 порядке выполнения технологических, технических и других мероприятий, связанных с подключением (технологическом присоединении) к централизованной системе ХВС, ГВС, ВО</w:t>
            </w: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п.27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 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п.48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п.69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  <w:p w:rsidR="0009462B" w:rsidRDefault="0009462B" w:rsidP="00826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55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(в том числе путем опубликования на официальном сайте организации</w:t>
            </w:r>
          </w:p>
          <w:p w:rsidR="0009462B" w:rsidRPr="00A41A9B" w:rsidRDefault="0009462B" w:rsidP="00826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41A9B">
              <w:rPr>
                <w:rFonts w:ascii="Times New Roman" w:eastAsia="Times New Roman" w:hAnsi="Times New Roman" w:cs="Times New Roman"/>
                <w:b/>
                <w:w w:val="99"/>
                <w:sz w:val="19"/>
                <w:szCs w:val="19"/>
                <w:lang w:eastAsia="ru-RU"/>
              </w:rPr>
              <w:t>(п.31</w:t>
            </w:r>
            <w:r>
              <w:rPr>
                <w:rFonts w:ascii="Times New Roman" w:eastAsia="Times New Roman" w:hAnsi="Times New Roman" w:cs="Times New Roman"/>
                <w:b/>
                <w:w w:val="99"/>
                <w:sz w:val="19"/>
                <w:szCs w:val="19"/>
                <w:lang w:eastAsia="ru-RU"/>
              </w:rPr>
              <w:t>, 51, 72</w:t>
            </w:r>
            <w:r w:rsidRPr="00A41A9B">
              <w:rPr>
                <w:rFonts w:ascii="Times New Roman" w:eastAsia="Times New Roman" w:hAnsi="Times New Roman" w:cs="Times New Roman"/>
                <w:b/>
                <w:w w:val="99"/>
                <w:sz w:val="19"/>
                <w:szCs w:val="19"/>
                <w:lang w:eastAsia="ru-RU"/>
              </w:rPr>
              <w:t xml:space="preserve"> Стандартов)</w:t>
            </w:r>
            <w:r w:rsidRPr="00A41A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3686" w:type="dxa"/>
            <w:gridSpan w:val="2"/>
            <w:vMerge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462B" w:rsidRPr="004A43EC" w:rsidTr="006448F1">
        <w:trPr>
          <w:trHeight w:val="723"/>
        </w:trPr>
        <w:tc>
          <w:tcPr>
            <w:tcW w:w="3545" w:type="dxa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предложении РО об установлении тарифов в сфере ХВС, ГВС, ВО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п.29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п.50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31262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п.71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  <w:vMerge w:val="restart"/>
          </w:tcPr>
          <w:p w:rsidR="0009462B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hAnsi="Times New Roman" w:cs="Times New Roman"/>
                <w:sz w:val="19"/>
                <w:szCs w:val="19"/>
              </w:rPr>
              <w:t>В течение 30 дней со дня представления заявления об установлении тарифов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36, 57, 78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  <w:vMerge w:val="restart"/>
          </w:tcPr>
          <w:p w:rsidR="0009462B" w:rsidRPr="0031262B" w:rsidRDefault="006448F1" w:rsidP="00826FE8">
            <w:pPr>
              <w:autoSpaceDE w:val="0"/>
              <w:autoSpaceDN w:val="0"/>
              <w:adjustRightInd w:val="0"/>
              <w:outlineLvl w:val="1"/>
              <w:rPr>
                <w:lang w:val="en-US"/>
              </w:rPr>
            </w:pPr>
            <w:r w:rsidRPr="00890E96">
              <w:rPr>
                <w:lang w:val="en-US"/>
              </w:rPr>
              <w:t>PP108.OPEN.INFO.REQUEST.COLDVSNA.EIAS</w:t>
            </w:r>
          </w:p>
          <w:p w:rsidR="006448F1" w:rsidRPr="0031262B" w:rsidRDefault="006448F1" w:rsidP="00826FE8">
            <w:pPr>
              <w:autoSpaceDE w:val="0"/>
              <w:autoSpaceDN w:val="0"/>
              <w:adjustRightInd w:val="0"/>
              <w:outlineLvl w:val="1"/>
              <w:rPr>
                <w:lang w:val="en-US"/>
              </w:rPr>
            </w:pPr>
            <w:r w:rsidRPr="0031262B">
              <w:rPr>
                <w:lang w:val="en-US"/>
              </w:rPr>
              <w:t>PP108.OPEN.INFO.</w:t>
            </w:r>
            <w:r w:rsidR="009045A2" w:rsidRPr="00890E96">
              <w:rPr>
                <w:lang w:val="en-US"/>
              </w:rPr>
              <w:t xml:space="preserve"> REQUEST</w:t>
            </w:r>
            <w:r w:rsidRPr="0031262B">
              <w:rPr>
                <w:lang w:val="en-US"/>
              </w:rPr>
              <w:t>.VOTV.EIAS</w:t>
            </w:r>
          </w:p>
          <w:p w:rsidR="006448F1" w:rsidRPr="006448F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0E96">
              <w:rPr>
                <w:lang w:val="en-US"/>
              </w:rPr>
              <w:t>PP108.OPEN.INFO.REQUEST.HOTVSNA.EIAS</w:t>
            </w:r>
          </w:p>
        </w:tc>
      </w:tr>
      <w:tr w:rsidR="0009462B" w:rsidRPr="00E856E4" w:rsidTr="006448F1">
        <w:trPr>
          <w:trHeight w:val="1145"/>
        </w:trPr>
        <w:tc>
          <w:tcPr>
            <w:tcW w:w="3545" w:type="dxa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способах приобретения, стоимости и объемах товаров (работ, услуг), необходимых для производства товаров и (или) оказания услуг, тарифы на которые подлежат регулированию</w:t>
            </w: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п.28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п.49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31262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п.70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  <w:vMerge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9462B" w:rsidRPr="004A43EC" w:rsidTr="006448F1">
        <w:trPr>
          <w:trHeight w:val="1555"/>
        </w:trPr>
        <w:tc>
          <w:tcPr>
            <w:tcW w:w="3545" w:type="dxa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наличии (отсутствии) технической возможности подключения (технологического присоединения) к централизованной системе ХВС, ГВС, ВО, а также о принятии и рассмотрении заявлений о заключении договоров о подключении (технологическом присоединении) к централизованной системе</w:t>
            </w: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п.24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25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п.45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46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31262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п.66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67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</w:tcPr>
          <w:p w:rsidR="0009462B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hAnsi="Times New Roman" w:cs="Times New Roman"/>
                <w:sz w:val="19"/>
                <w:szCs w:val="19"/>
              </w:rPr>
              <w:t>Ежеквартально, в течение 30 дней по истечении квартала, за который раскрывается информация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35, 56, 77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09462B" w:rsidRPr="0031262B" w:rsidRDefault="006448F1" w:rsidP="00826FE8">
            <w:pPr>
              <w:autoSpaceDE w:val="0"/>
              <w:autoSpaceDN w:val="0"/>
              <w:adjustRightInd w:val="0"/>
              <w:outlineLvl w:val="1"/>
              <w:rPr>
                <w:lang w:val="en-US"/>
              </w:rPr>
            </w:pPr>
            <w:r w:rsidRPr="006B23D5">
              <w:rPr>
                <w:lang w:val="en-US"/>
              </w:rPr>
              <w:t>PP108.OPEN.INFO.QUARTER.COLDVSNA.EIAS</w:t>
            </w:r>
          </w:p>
          <w:p w:rsidR="006448F1" w:rsidRPr="0031262B" w:rsidRDefault="006448F1" w:rsidP="00826FE8">
            <w:pPr>
              <w:autoSpaceDE w:val="0"/>
              <w:autoSpaceDN w:val="0"/>
              <w:adjustRightInd w:val="0"/>
              <w:outlineLvl w:val="1"/>
              <w:rPr>
                <w:lang w:val="en-US"/>
              </w:rPr>
            </w:pPr>
            <w:r w:rsidRPr="00890E96">
              <w:rPr>
                <w:lang w:val="en-US"/>
              </w:rPr>
              <w:t>PP108.OPEN.INFO.QUARTER.VOTV.EIAS</w:t>
            </w:r>
          </w:p>
          <w:p w:rsidR="006448F1" w:rsidRPr="006448F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0E96">
              <w:rPr>
                <w:lang w:val="en-US"/>
              </w:rPr>
              <w:t>PP108.OPEN.INFO.QUARTER.HOTVSNA.EIAS</w:t>
            </w:r>
          </w:p>
        </w:tc>
      </w:tr>
      <w:tr w:rsidR="0009462B" w:rsidRPr="004A43EC" w:rsidTr="006448F1">
        <w:trPr>
          <w:trHeight w:val="2855"/>
        </w:trPr>
        <w:tc>
          <w:tcPr>
            <w:tcW w:w="3545" w:type="dxa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- об условиях, на которых осуществляется поставка товаров (оказание услуг), тарифы на которые подлежат регулированию, и (или) условиях договоров о подключении (технологическом присоединении) к централизованной системе ХВС, ГВС, ВО должна содержать сведения об условиях публичных договоров поставок товаров (оказания услуг), тарифы на которые подлежат регулированию, в т.ч. договоров о подключении (технологическом присоединении) к централизованной системе ХВС, ГВС, ВО  </w:t>
            </w:r>
          </w:p>
        </w:tc>
        <w:tc>
          <w:tcPr>
            <w:tcW w:w="3118" w:type="dxa"/>
            <w:gridSpan w:val="2"/>
          </w:tcPr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п.26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(ХВС)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A41A9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п.47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(ВО)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31262B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п.68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 (ГВС)</w:t>
            </w:r>
          </w:p>
        </w:tc>
        <w:tc>
          <w:tcPr>
            <w:tcW w:w="3686" w:type="dxa"/>
            <w:gridSpan w:val="2"/>
          </w:tcPr>
          <w:p w:rsidR="0009462B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hAnsi="Times New Roman" w:cs="Times New Roman"/>
                <w:sz w:val="19"/>
                <w:szCs w:val="19"/>
              </w:rPr>
              <w:t>Ежегодно, до 30 апреля текущего года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</w:t>
            </w:r>
            <w:r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30, 51, 72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  <w:p w:rsidR="0009462B" w:rsidRPr="00D55DB1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gridSpan w:val="3"/>
          </w:tcPr>
          <w:p w:rsidR="0009462B" w:rsidRPr="0031262B" w:rsidRDefault="006448F1">
            <w:pPr>
              <w:rPr>
                <w:lang w:val="en-US"/>
              </w:rPr>
            </w:pPr>
            <w:r w:rsidRPr="006D7AF4">
              <w:rPr>
                <w:lang w:val="en-US"/>
              </w:rPr>
              <w:t>PP108.OPEN.INFO.TERMS.COLDVSNA.EIAS</w:t>
            </w:r>
          </w:p>
          <w:p w:rsidR="006448F1" w:rsidRPr="0031262B" w:rsidRDefault="006448F1">
            <w:pPr>
              <w:rPr>
                <w:lang w:val="en-US"/>
              </w:rPr>
            </w:pPr>
            <w:r w:rsidRPr="006D7AF4">
              <w:rPr>
                <w:lang w:val="en-US"/>
              </w:rPr>
              <w:t>PP108.OPEN.INFO.TERMS.VOTV.EIAS</w:t>
            </w:r>
          </w:p>
          <w:p w:rsidR="006448F1" w:rsidRPr="006448F1" w:rsidRDefault="006448F1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6D7AF4">
              <w:rPr>
                <w:lang w:val="en-US"/>
              </w:rPr>
              <w:t>PP108.OPEN.INFO.TERMS.HOTVSNA.EIAS</w:t>
            </w:r>
          </w:p>
          <w:p w:rsidR="0009462B" w:rsidRPr="006448F1" w:rsidRDefault="0009462B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  <w:p w:rsidR="0009462B" w:rsidRPr="006448F1" w:rsidRDefault="0009462B" w:rsidP="0009462B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</w:tr>
      <w:tr w:rsidR="0009462B" w:rsidRPr="00E856E4" w:rsidTr="0009462B">
        <w:trPr>
          <w:trHeight w:val="756"/>
        </w:trPr>
        <w:tc>
          <w:tcPr>
            <w:tcW w:w="15310" w:type="dxa"/>
            <w:gridSpan w:val="8"/>
          </w:tcPr>
          <w:p w:rsidR="0009462B" w:rsidRPr="00BD1827" w:rsidRDefault="0009462B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D1827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Раскрытие информации регулируемыми организациями (РО), осуществляющими деятельность в области обращения с т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вердыми коммунальными отходами </w:t>
            </w:r>
            <w:r w:rsidRPr="00BD1827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(ТКО)</w:t>
            </w:r>
          </w:p>
          <w:p w:rsidR="0009462B" w:rsidRDefault="0009462B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8F1" w:rsidRPr="00E856E4" w:rsidTr="006448F1">
        <w:trPr>
          <w:trHeight w:val="1137"/>
        </w:trPr>
        <w:tc>
          <w:tcPr>
            <w:tcW w:w="3972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организации (общая информация)</w:t>
            </w:r>
          </w:p>
        </w:tc>
        <w:tc>
          <w:tcPr>
            <w:tcW w:w="3120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>п.1</w:t>
            </w: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4</w:t>
            </w: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270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30 дней со дня внесения записи о гос. регистрации в ЕГРЮЛ/ЕГРИП (вновь созданным организациям) </w:t>
            </w:r>
          </w:p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(п.23 Стандартов)</w:t>
            </w:r>
          </w:p>
        </w:tc>
        <w:tc>
          <w:tcPr>
            <w:tcW w:w="4948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3F4067">
              <w:t>PP109.OPEN.INFO.ORG.TKO.EIAS</w:t>
            </w:r>
          </w:p>
        </w:tc>
      </w:tr>
      <w:tr w:rsidR="006448F1" w:rsidRPr="004A43EC" w:rsidTr="006448F1">
        <w:trPr>
          <w:trHeight w:val="756"/>
        </w:trPr>
        <w:tc>
          <w:tcPr>
            <w:tcW w:w="3972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об условиях, на которых осуществляется оказание услуг в области обращения с ТКО, содержит сведения об условиях договоров на оказание услуг по транспортированию ТКО</w:t>
            </w:r>
          </w:p>
        </w:tc>
        <w:tc>
          <w:tcPr>
            <w:tcW w:w="3120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val="en-US"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>п.20</w:t>
            </w:r>
            <w:r w:rsidRPr="00D55DB1">
              <w:rPr>
                <w:rFonts w:ascii="Times New Roman" w:eastAsia="Times New Roman" w:hAnsi="Times New Roman" w:cs="Arial"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>Стандартов</w:t>
            </w:r>
          </w:p>
        </w:tc>
        <w:tc>
          <w:tcPr>
            <w:tcW w:w="3270" w:type="dxa"/>
            <w:gridSpan w:val="2"/>
            <w:vMerge w:val="restart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Ежегодно, не позднее 30 апреля года, следующего за отчетным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br/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(п.28, 25 Стандартов)</w:t>
            </w:r>
          </w:p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</w:p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4948" w:type="dxa"/>
            <w:gridSpan w:val="2"/>
          </w:tcPr>
          <w:p w:rsidR="006448F1" w:rsidRPr="006448F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val="en-US" w:eastAsia="ru-RU"/>
              </w:rPr>
            </w:pPr>
            <w:r w:rsidRPr="006D7AF4">
              <w:rPr>
                <w:lang w:val="en-US"/>
              </w:rPr>
              <w:t>PP109.OPEN.INFO.TERMS.TKO.EIAS</w:t>
            </w:r>
          </w:p>
        </w:tc>
      </w:tr>
      <w:tr w:rsidR="006448F1" w:rsidRPr="004A43EC" w:rsidTr="006448F1">
        <w:trPr>
          <w:trHeight w:val="458"/>
        </w:trPr>
        <w:tc>
          <w:tcPr>
            <w:tcW w:w="3972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основных показателях финансово-хозяйственной деятельности организации в части регулируемых видов деятельности за отчетный год</w:t>
            </w:r>
          </w:p>
        </w:tc>
        <w:tc>
          <w:tcPr>
            <w:tcW w:w="3120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val="en-US"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>п.17</w:t>
            </w:r>
            <w:r w:rsidRPr="00D55DB1">
              <w:rPr>
                <w:rFonts w:ascii="Times New Roman" w:eastAsia="Times New Roman" w:hAnsi="Times New Roman" w:cs="Arial"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>Стандартов</w:t>
            </w:r>
          </w:p>
        </w:tc>
        <w:tc>
          <w:tcPr>
            <w:tcW w:w="3270" w:type="dxa"/>
            <w:gridSpan w:val="2"/>
            <w:vMerge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4948" w:type="dxa"/>
            <w:gridSpan w:val="2"/>
            <w:vMerge w:val="restart"/>
          </w:tcPr>
          <w:p w:rsidR="006448F1" w:rsidRPr="006448F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val="en-US" w:eastAsia="ru-RU"/>
              </w:rPr>
            </w:pPr>
            <w:r w:rsidRPr="00654E97">
              <w:rPr>
                <w:lang w:val="en-US"/>
              </w:rPr>
              <w:t>PP109.OPEN.INFO.BALANCE.TKO.EIAS</w:t>
            </w:r>
          </w:p>
        </w:tc>
      </w:tr>
      <w:tr w:rsidR="006448F1" w:rsidRPr="00E856E4" w:rsidTr="006448F1">
        <w:trPr>
          <w:trHeight w:val="457"/>
        </w:trPr>
        <w:tc>
          <w:tcPr>
            <w:tcW w:w="3972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основных показателях финансово-хозяйственной деятельности организации в отношении деятельности по транспортированию твердых коммунальных отходов за отчетный год</w:t>
            </w:r>
          </w:p>
        </w:tc>
        <w:tc>
          <w:tcPr>
            <w:tcW w:w="3120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val="en-US"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>п.18</w:t>
            </w:r>
            <w:r w:rsidRPr="00D55DB1">
              <w:rPr>
                <w:rFonts w:ascii="Times New Roman" w:eastAsia="Times New Roman" w:hAnsi="Times New Roman" w:cs="Arial"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>Стандартов</w:t>
            </w:r>
          </w:p>
        </w:tc>
        <w:tc>
          <w:tcPr>
            <w:tcW w:w="3270" w:type="dxa"/>
            <w:gridSpan w:val="2"/>
            <w:vMerge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4948" w:type="dxa"/>
            <w:gridSpan w:val="2"/>
            <w:vMerge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</w:p>
        </w:tc>
      </w:tr>
      <w:tr w:rsidR="004A43EC" w:rsidRPr="004A43EC" w:rsidTr="006448F1">
        <w:trPr>
          <w:trHeight w:val="749"/>
        </w:trPr>
        <w:tc>
          <w:tcPr>
            <w:tcW w:w="3972" w:type="dxa"/>
            <w:gridSpan w:val="2"/>
            <w:vMerge w:val="restart"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информация об инвестиционных программах и отчетах об их реализации (в части регулируемых видов деятельности)</w:t>
            </w:r>
          </w:p>
        </w:tc>
        <w:tc>
          <w:tcPr>
            <w:tcW w:w="3120" w:type="dxa"/>
            <w:gridSpan w:val="2"/>
          </w:tcPr>
          <w:p w:rsidR="004A43EC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sz w:val="19"/>
                <w:szCs w:val="19"/>
                <w:lang w:eastAsia="ru-RU"/>
              </w:rPr>
              <w:t>Подпункты «д»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(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u w:val="single"/>
                <w:lang w:eastAsia="ru-RU"/>
              </w:rPr>
              <w:t>в отношении факт. данных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),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color w:val="FF0000"/>
                <w:w w:val="99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sz w:val="19"/>
                <w:szCs w:val="19"/>
                <w:lang w:eastAsia="ru-RU"/>
              </w:rPr>
              <w:t>«е» п.19</w:t>
            </w:r>
            <w:r w:rsidRPr="00D55DB1">
              <w:rPr>
                <w:rFonts w:ascii="Times New Roman" w:eastAsia="Times New Roman" w:hAnsi="Times New Roman" w:cs="Arial"/>
                <w:color w:val="548DD4" w:themeColor="text2" w:themeTint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Стандартов</w:t>
            </w:r>
          </w:p>
        </w:tc>
        <w:tc>
          <w:tcPr>
            <w:tcW w:w="3300" w:type="dxa"/>
            <w:gridSpan w:val="3"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Ежегодно, не позднее 30 апреля года, следующего за отчетным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br/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(п.25 Стандартов)</w:t>
            </w:r>
          </w:p>
        </w:tc>
        <w:tc>
          <w:tcPr>
            <w:tcW w:w="4918" w:type="dxa"/>
            <w:vMerge w:val="restart"/>
          </w:tcPr>
          <w:p w:rsidR="004A43EC" w:rsidRPr="004A43EC" w:rsidRDefault="004A43EC" w:rsidP="004A43EC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4A43EC">
              <w:rPr>
                <w:lang w:val="en-US"/>
              </w:rPr>
              <w:t>PP109.OPEN.INFO</w:t>
            </w:r>
            <w:bookmarkStart w:id="0" w:name="_GoBack"/>
            <w:bookmarkEnd w:id="0"/>
            <w:r w:rsidRPr="004A43EC">
              <w:rPr>
                <w:lang w:val="en-US"/>
              </w:rPr>
              <w:t>.INVEST.TKO.EIAS</w:t>
            </w:r>
          </w:p>
        </w:tc>
      </w:tr>
      <w:tr w:rsidR="004A43EC" w:rsidRPr="00E856E4" w:rsidTr="006448F1">
        <w:trPr>
          <w:trHeight w:val="758"/>
        </w:trPr>
        <w:tc>
          <w:tcPr>
            <w:tcW w:w="3972" w:type="dxa"/>
            <w:gridSpan w:val="2"/>
            <w:vMerge/>
          </w:tcPr>
          <w:p w:rsidR="004A43EC" w:rsidRPr="004A43EC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3120" w:type="dxa"/>
            <w:gridSpan w:val="2"/>
          </w:tcPr>
          <w:p w:rsidR="004A43EC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color w:val="548DD4" w:themeColor="text2" w:themeTint="99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sz w:val="19"/>
                <w:szCs w:val="19"/>
                <w:lang w:eastAsia="ru-RU"/>
              </w:rPr>
              <w:t>Подпункты «а»-«д»</w:t>
            </w:r>
            <w:r w:rsidRPr="00D55DB1">
              <w:rPr>
                <w:rFonts w:ascii="Times New Roman" w:eastAsia="Times New Roman" w:hAnsi="Times New Roman" w:cs="Arial"/>
                <w:color w:val="548DD4" w:themeColor="text2" w:themeTint="99"/>
                <w:sz w:val="19"/>
                <w:szCs w:val="19"/>
                <w:lang w:eastAsia="ru-RU"/>
              </w:rPr>
              <w:t xml:space="preserve">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(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u w:val="single"/>
                <w:lang w:eastAsia="ru-RU"/>
              </w:rPr>
              <w:t>за исключением факт. данных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),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sz w:val="19"/>
                <w:szCs w:val="19"/>
                <w:lang w:eastAsia="ru-RU"/>
              </w:rPr>
              <w:t>«з» п. 19</w:t>
            </w:r>
            <w:r w:rsidRPr="00D55DB1">
              <w:rPr>
                <w:rFonts w:ascii="Times New Roman" w:eastAsia="Times New Roman" w:hAnsi="Times New Roman" w:cs="Arial"/>
                <w:color w:val="548DD4" w:themeColor="text2" w:themeTint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Стандартов</w:t>
            </w:r>
          </w:p>
        </w:tc>
        <w:tc>
          <w:tcPr>
            <w:tcW w:w="3300" w:type="dxa"/>
            <w:gridSpan w:val="3"/>
          </w:tcPr>
          <w:p w:rsidR="004A43EC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Не позднее 30 дней со дня утверждения инвестиционной программы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sz w:val="19"/>
                <w:szCs w:val="19"/>
                <w:lang w:eastAsia="ru-RU"/>
              </w:rPr>
              <w:t>(п. 26 Стандартов)</w:t>
            </w:r>
          </w:p>
        </w:tc>
        <w:tc>
          <w:tcPr>
            <w:tcW w:w="4918" w:type="dxa"/>
            <w:vMerge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</w:p>
        </w:tc>
      </w:tr>
      <w:tr w:rsidR="004A43EC" w:rsidRPr="00E856E4" w:rsidTr="006448F1">
        <w:trPr>
          <w:trHeight w:val="916"/>
        </w:trPr>
        <w:tc>
          <w:tcPr>
            <w:tcW w:w="3972" w:type="dxa"/>
            <w:gridSpan w:val="2"/>
            <w:vMerge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20" w:type="dxa"/>
            <w:gridSpan w:val="2"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sz w:val="19"/>
                <w:szCs w:val="19"/>
                <w:lang w:eastAsia="ru-RU"/>
              </w:rPr>
              <w:t>Подпункт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sz w:val="19"/>
                <w:szCs w:val="19"/>
                <w:lang w:eastAsia="ru-RU"/>
              </w:rPr>
              <w:t>«ж» п. 19</w:t>
            </w:r>
            <w:r w:rsidRPr="00D55DB1">
              <w:rPr>
                <w:rFonts w:ascii="Times New Roman" w:eastAsia="Times New Roman" w:hAnsi="Times New Roman" w:cs="Arial"/>
                <w:color w:val="548DD4" w:themeColor="text2" w:themeTint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Стандартов</w:t>
            </w:r>
          </w:p>
        </w:tc>
        <w:tc>
          <w:tcPr>
            <w:tcW w:w="3300" w:type="dxa"/>
            <w:gridSpan w:val="3"/>
          </w:tcPr>
          <w:p w:rsidR="004A43EC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В течение 30 дней со дня принятия решения о внесении изменений в инвестиционную программу </w:t>
            </w:r>
          </w:p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sz w:val="19"/>
                <w:szCs w:val="19"/>
                <w:lang w:eastAsia="ru-RU"/>
              </w:rPr>
              <w:t>(п. 27 Стандартов)</w:t>
            </w:r>
          </w:p>
        </w:tc>
        <w:tc>
          <w:tcPr>
            <w:tcW w:w="4918" w:type="dxa"/>
            <w:vMerge/>
          </w:tcPr>
          <w:p w:rsidR="004A43EC" w:rsidRPr="00D55DB1" w:rsidRDefault="004A43EC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</w:tr>
      <w:tr w:rsidR="006448F1" w:rsidRPr="004A43EC" w:rsidTr="006448F1">
        <w:trPr>
          <w:trHeight w:val="988"/>
        </w:trPr>
        <w:tc>
          <w:tcPr>
            <w:tcW w:w="3972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 предельных тарифах (в случае если организация осуществляет регулируемые виды деятельности)</w:t>
            </w:r>
          </w:p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120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п.15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16</w:t>
            </w:r>
            <w:r w:rsidRPr="00D55DB1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300" w:type="dxa"/>
            <w:gridSpan w:val="3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Не позднее 30 календ. дней со дня принятия решения об установлении тарифов</w:t>
            </w: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br/>
            </w: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 24 Стандартов)</w:t>
            </w:r>
          </w:p>
        </w:tc>
        <w:tc>
          <w:tcPr>
            <w:tcW w:w="4918" w:type="dxa"/>
          </w:tcPr>
          <w:p w:rsidR="006448F1" w:rsidRPr="006448F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val="en-US" w:eastAsia="ru-RU"/>
              </w:rPr>
            </w:pPr>
            <w:r w:rsidRPr="00EA0A13">
              <w:rPr>
                <w:lang w:val="en-US"/>
              </w:rPr>
              <w:t>PP109.OPEN.INFO.PRICE.TKO.EIAS</w:t>
            </w:r>
          </w:p>
        </w:tc>
      </w:tr>
      <w:tr w:rsidR="006448F1" w:rsidRPr="004A43EC" w:rsidTr="006448F1">
        <w:trPr>
          <w:trHeight w:val="345"/>
        </w:trPr>
        <w:tc>
          <w:tcPr>
            <w:tcW w:w="3972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предложении организации об установлении предельных тарифов (в случае если организация осуществляет регулируемые виды деятельности)</w:t>
            </w:r>
          </w:p>
        </w:tc>
        <w:tc>
          <w:tcPr>
            <w:tcW w:w="3120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>п.</w:t>
            </w:r>
            <w:r w:rsidRPr="00D55DB1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22</w:t>
            </w:r>
            <w:r w:rsidRPr="00D55DB1">
              <w:rPr>
                <w:rFonts w:ascii="Times New Roman" w:eastAsia="Times New Roman" w:hAnsi="Times New Roman" w:cs="Times New Roman"/>
                <w:color w:val="548DD4" w:themeColor="text2" w:themeTint="99"/>
                <w:sz w:val="19"/>
                <w:szCs w:val="19"/>
                <w:lang w:eastAsia="ru-RU"/>
              </w:rPr>
              <w:t xml:space="preserve"> </w:t>
            </w: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Стандартов</w:t>
            </w:r>
          </w:p>
        </w:tc>
        <w:tc>
          <w:tcPr>
            <w:tcW w:w="3300" w:type="dxa"/>
            <w:gridSpan w:val="3"/>
            <w:vMerge w:val="restart"/>
          </w:tcPr>
          <w:p w:rsidR="006448F1" w:rsidRPr="00D55DB1" w:rsidRDefault="006448F1" w:rsidP="00826FE8">
            <w:pPr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течение 30 дней со дня представления заявления об установлении предельных тарифов в региональных орган регулирования</w:t>
            </w:r>
            <w:r w:rsidRPr="00D55D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D55DB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(п.29 Стандартов)</w:t>
            </w:r>
          </w:p>
        </w:tc>
        <w:tc>
          <w:tcPr>
            <w:tcW w:w="4918" w:type="dxa"/>
            <w:vMerge w:val="restart"/>
          </w:tcPr>
          <w:p w:rsidR="006448F1" w:rsidRPr="006448F1" w:rsidRDefault="006448F1" w:rsidP="00826FE8">
            <w:pPr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</w:pPr>
            <w:r w:rsidRPr="00890E96">
              <w:rPr>
                <w:lang w:val="en-US"/>
              </w:rPr>
              <w:t>PP109.OPEN.INFO.REQUEST.TKO.EIAS</w:t>
            </w:r>
          </w:p>
        </w:tc>
      </w:tr>
      <w:tr w:rsidR="006448F1" w:rsidRPr="00E856E4" w:rsidTr="006448F1">
        <w:trPr>
          <w:trHeight w:val="345"/>
        </w:trPr>
        <w:tc>
          <w:tcPr>
            <w:tcW w:w="3972" w:type="dxa"/>
            <w:gridSpan w:val="2"/>
          </w:tcPr>
          <w:p w:rsidR="006448F1" w:rsidRPr="00D55DB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55DB1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способах приобретения, стоимости и об объемах товаров, работ и услуг, необходимых организации для осуществления регулируемых видов деятельности</w:t>
            </w:r>
          </w:p>
        </w:tc>
        <w:tc>
          <w:tcPr>
            <w:tcW w:w="3120" w:type="dxa"/>
            <w:gridSpan w:val="2"/>
          </w:tcPr>
          <w:p w:rsidR="006448F1" w:rsidRPr="00DF239E" w:rsidRDefault="006448F1" w:rsidP="00826F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Arial"/>
                <w:color w:val="FF0000"/>
                <w:w w:val="99"/>
                <w:sz w:val="20"/>
                <w:szCs w:val="20"/>
                <w:lang w:eastAsia="ru-RU"/>
              </w:rPr>
            </w:pPr>
            <w:r w:rsidRPr="00F1664B">
              <w:rPr>
                <w:rFonts w:ascii="Times New Roman" w:eastAsia="Times New Roman" w:hAnsi="Times New Roman" w:cs="Arial"/>
                <w:b/>
                <w:color w:val="548DD4" w:themeColor="text2" w:themeTint="99"/>
                <w:sz w:val="20"/>
                <w:szCs w:val="20"/>
                <w:lang w:eastAsia="ru-RU"/>
              </w:rPr>
              <w:t>п.21</w:t>
            </w:r>
            <w:r w:rsidRPr="00F1664B">
              <w:rPr>
                <w:rFonts w:ascii="Times New Roman" w:eastAsia="Times New Roman" w:hAnsi="Times New Roman" w:cs="Arial"/>
                <w:color w:val="548DD4" w:themeColor="text2" w:themeTint="99"/>
                <w:sz w:val="20"/>
                <w:szCs w:val="20"/>
                <w:lang w:eastAsia="ru-RU"/>
              </w:rPr>
              <w:t xml:space="preserve"> </w:t>
            </w:r>
            <w:r w:rsidRPr="00BE6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Стандартов</w:t>
            </w:r>
          </w:p>
        </w:tc>
        <w:tc>
          <w:tcPr>
            <w:tcW w:w="3300" w:type="dxa"/>
            <w:gridSpan w:val="3"/>
            <w:vMerge/>
          </w:tcPr>
          <w:p w:rsidR="006448F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918" w:type="dxa"/>
            <w:vMerge/>
          </w:tcPr>
          <w:p w:rsidR="006448F1" w:rsidRDefault="006448F1" w:rsidP="00826FE8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</w:tbl>
    <w:p w:rsidR="00010060" w:rsidRDefault="00010060" w:rsidP="005B353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5DB1" w:rsidRDefault="00D55DB1" w:rsidP="00F83B17">
      <w:pPr>
        <w:pStyle w:val="a6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1E9" w:rsidRPr="000041E9" w:rsidRDefault="0031262B" w:rsidP="0031262B">
      <w:pPr>
        <w:pStyle w:val="a6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Georgia" w:hAnsi="Georgia"/>
          <w:color w:val="1A1A1A"/>
          <w:sz w:val="26"/>
          <w:szCs w:val="26"/>
          <w:shd w:val="clear" w:color="auto" w:fill="FFFFFF"/>
        </w:rPr>
        <w:t xml:space="preserve">Для заполнения форм регулируемым организациям необходимо скачать шаблон и перейти для его заполнения в веб-редактор </w:t>
      </w:r>
      <w:hyperlink r:id="rId8" w:tgtFrame="_blank" w:history="1">
        <w:r>
          <w:rPr>
            <w:rStyle w:val="a5"/>
            <w:rFonts w:ascii="Georgia" w:hAnsi="Georgia"/>
            <w:sz w:val="26"/>
            <w:szCs w:val="26"/>
            <w:shd w:val="clear" w:color="auto" w:fill="FFFFFF"/>
          </w:rPr>
          <w:t>https://www.data-platform.ru/tpl-web-editor/</w:t>
        </w:r>
      </w:hyperlink>
      <w:r>
        <w:rPr>
          <w:rFonts w:ascii="Georgia" w:hAnsi="Georgia"/>
          <w:color w:val="1A1A1A"/>
          <w:sz w:val="26"/>
          <w:szCs w:val="26"/>
          <w:shd w:val="clear" w:color="auto" w:fill="FFFFFF"/>
        </w:rPr>
        <w:t xml:space="preserve">. Инструкция по заполнению шаблонов в веб-редакторе расположена по ссылке </w:t>
      </w:r>
      <w:hyperlink r:id="rId9" w:tgtFrame="_blank" w:history="1">
        <w:r>
          <w:rPr>
            <w:rStyle w:val="a5"/>
            <w:rFonts w:ascii="Georgia" w:hAnsi="Georgia"/>
            <w:sz w:val="26"/>
            <w:szCs w:val="26"/>
            <w:shd w:val="clear" w:color="auto" w:fill="FFFFFF"/>
          </w:rPr>
          <w:t>https://cloud.data-platform.ru/index.php/s/kMJYfifFMMn97ff</w:t>
        </w:r>
      </w:hyperlink>
      <w:r>
        <w:rPr>
          <w:rFonts w:ascii="Georgia" w:hAnsi="Georgia"/>
          <w:color w:val="1A1A1A"/>
          <w:sz w:val="26"/>
          <w:szCs w:val="26"/>
          <w:shd w:val="clear" w:color="auto" w:fill="FFFFFF"/>
        </w:rPr>
        <w:t xml:space="preserve"> .</w:t>
      </w:r>
    </w:p>
    <w:sectPr w:rsidR="000041E9" w:rsidRPr="000041E9" w:rsidSect="0009462B">
      <w:headerReference w:type="default" r:id="rId10"/>
      <w:pgSz w:w="16838" w:h="11906" w:orient="landscape"/>
      <w:pgMar w:top="1418" w:right="709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3FB" w:rsidRDefault="00DD03FB" w:rsidP="00934B54">
      <w:pPr>
        <w:spacing w:after="0" w:line="240" w:lineRule="auto"/>
      </w:pPr>
      <w:r>
        <w:separator/>
      </w:r>
    </w:p>
  </w:endnote>
  <w:endnote w:type="continuationSeparator" w:id="0">
    <w:p w:rsidR="00DD03FB" w:rsidRDefault="00DD03FB" w:rsidP="0093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3FB" w:rsidRDefault="00DD03FB" w:rsidP="00934B54">
      <w:pPr>
        <w:spacing w:after="0" w:line="240" w:lineRule="auto"/>
      </w:pPr>
      <w:r>
        <w:separator/>
      </w:r>
    </w:p>
  </w:footnote>
  <w:footnote w:type="continuationSeparator" w:id="0">
    <w:p w:rsidR="00DD03FB" w:rsidRDefault="00DD03FB" w:rsidP="0093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798470"/>
      <w:docPartObj>
        <w:docPartGallery w:val="Page Numbers (Top of Page)"/>
        <w:docPartUnique/>
      </w:docPartObj>
    </w:sdtPr>
    <w:sdtEndPr/>
    <w:sdtContent>
      <w:p w:rsidR="00826FE8" w:rsidRDefault="00826FE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3EC">
          <w:rPr>
            <w:noProof/>
          </w:rPr>
          <w:t>3</w:t>
        </w:r>
        <w:r>
          <w:fldChar w:fldCharType="end"/>
        </w:r>
      </w:p>
    </w:sdtContent>
  </w:sdt>
  <w:p w:rsidR="00826FE8" w:rsidRDefault="00826F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6A1A61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0B74"/>
    <w:multiLevelType w:val="hybridMultilevel"/>
    <w:tmpl w:val="87043754"/>
    <w:lvl w:ilvl="0" w:tplc="656E9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60FD"/>
    <w:multiLevelType w:val="hybridMultilevel"/>
    <w:tmpl w:val="87043754"/>
    <w:lvl w:ilvl="0" w:tplc="656E9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D2B4B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B26E8"/>
    <w:multiLevelType w:val="hybridMultilevel"/>
    <w:tmpl w:val="B7DC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3245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F7BA5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5662C"/>
    <w:multiLevelType w:val="hybridMultilevel"/>
    <w:tmpl w:val="E316772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1A6204"/>
    <w:multiLevelType w:val="hybridMultilevel"/>
    <w:tmpl w:val="0096DC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5B"/>
    <w:rsid w:val="000000FB"/>
    <w:rsid w:val="000041CA"/>
    <w:rsid w:val="000041E9"/>
    <w:rsid w:val="00004CA6"/>
    <w:rsid w:val="00010060"/>
    <w:rsid w:val="00020A88"/>
    <w:rsid w:val="000233E1"/>
    <w:rsid w:val="0002739F"/>
    <w:rsid w:val="000276F0"/>
    <w:rsid w:val="000350FD"/>
    <w:rsid w:val="0003644E"/>
    <w:rsid w:val="000367C5"/>
    <w:rsid w:val="0005102A"/>
    <w:rsid w:val="00053885"/>
    <w:rsid w:val="000549ED"/>
    <w:rsid w:val="0005741F"/>
    <w:rsid w:val="000624B3"/>
    <w:rsid w:val="000872F7"/>
    <w:rsid w:val="000937FE"/>
    <w:rsid w:val="0009462B"/>
    <w:rsid w:val="000B27A3"/>
    <w:rsid w:val="000B3659"/>
    <w:rsid w:val="000B4831"/>
    <w:rsid w:val="000B4C1C"/>
    <w:rsid w:val="000B5572"/>
    <w:rsid w:val="000C0838"/>
    <w:rsid w:val="000C6D27"/>
    <w:rsid w:val="000D0CB2"/>
    <w:rsid w:val="000D3134"/>
    <w:rsid w:val="000D3575"/>
    <w:rsid w:val="000D5713"/>
    <w:rsid w:val="000D58FF"/>
    <w:rsid w:val="000E0B4D"/>
    <w:rsid w:val="000F6D0E"/>
    <w:rsid w:val="00106C5D"/>
    <w:rsid w:val="00116CB7"/>
    <w:rsid w:val="00116FC1"/>
    <w:rsid w:val="00124260"/>
    <w:rsid w:val="00134C4C"/>
    <w:rsid w:val="00135E6D"/>
    <w:rsid w:val="00160E77"/>
    <w:rsid w:val="001734CA"/>
    <w:rsid w:val="00174966"/>
    <w:rsid w:val="00197E44"/>
    <w:rsid w:val="001B5701"/>
    <w:rsid w:val="001B5AD2"/>
    <w:rsid w:val="001B630A"/>
    <w:rsid w:val="001C4934"/>
    <w:rsid w:val="001D7538"/>
    <w:rsid w:val="00211BB4"/>
    <w:rsid w:val="00216485"/>
    <w:rsid w:val="0023007F"/>
    <w:rsid w:val="0023721D"/>
    <w:rsid w:val="002378DC"/>
    <w:rsid w:val="00237EAA"/>
    <w:rsid w:val="002416B4"/>
    <w:rsid w:val="00244590"/>
    <w:rsid w:val="00250997"/>
    <w:rsid w:val="00255A1D"/>
    <w:rsid w:val="00263B67"/>
    <w:rsid w:val="002758BC"/>
    <w:rsid w:val="00284B0B"/>
    <w:rsid w:val="002856E5"/>
    <w:rsid w:val="002A10A9"/>
    <w:rsid w:val="002A685D"/>
    <w:rsid w:val="002A71E5"/>
    <w:rsid w:val="002B074A"/>
    <w:rsid w:val="002C0EA5"/>
    <w:rsid w:val="002F146A"/>
    <w:rsid w:val="002F4587"/>
    <w:rsid w:val="0030543D"/>
    <w:rsid w:val="0031262B"/>
    <w:rsid w:val="00320846"/>
    <w:rsid w:val="00344341"/>
    <w:rsid w:val="00356482"/>
    <w:rsid w:val="00367EF4"/>
    <w:rsid w:val="00383513"/>
    <w:rsid w:val="0039685F"/>
    <w:rsid w:val="00396E9F"/>
    <w:rsid w:val="00397774"/>
    <w:rsid w:val="003A7412"/>
    <w:rsid w:val="003C0BAB"/>
    <w:rsid w:val="003D2E9E"/>
    <w:rsid w:val="003F690C"/>
    <w:rsid w:val="004042F3"/>
    <w:rsid w:val="00416AF8"/>
    <w:rsid w:val="0042163D"/>
    <w:rsid w:val="00427854"/>
    <w:rsid w:val="0043027B"/>
    <w:rsid w:val="00432196"/>
    <w:rsid w:val="00440CBE"/>
    <w:rsid w:val="00446C6A"/>
    <w:rsid w:val="004521D7"/>
    <w:rsid w:val="004545AE"/>
    <w:rsid w:val="0046280C"/>
    <w:rsid w:val="004706E0"/>
    <w:rsid w:val="0048626E"/>
    <w:rsid w:val="00487F00"/>
    <w:rsid w:val="0049525B"/>
    <w:rsid w:val="004A43EC"/>
    <w:rsid w:val="004B1EF0"/>
    <w:rsid w:val="004C6798"/>
    <w:rsid w:val="004D2BC7"/>
    <w:rsid w:val="004D36AF"/>
    <w:rsid w:val="004D72A4"/>
    <w:rsid w:val="004E1C50"/>
    <w:rsid w:val="004E2845"/>
    <w:rsid w:val="00570551"/>
    <w:rsid w:val="005723E7"/>
    <w:rsid w:val="00574E06"/>
    <w:rsid w:val="005770DC"/>
    <w:rsid w:val="00587050"/>
    <w:rsid w:val="00590373"/>
    <w:rsid w:val="0059057A"/>
    <w:rsid w:val="00591894"/>
    <w:rsid w:val="005A0A26"/>
    <w:rsid w:val="005A39DE"/>
    <w:rsid w:val="005B353F"/>
    <w:rsid w:val="005C35DD"/>
    <w:rsid w:val="005D0ED6"/>
    <w:rsid w:val="005E1250"/>
    <w:rsid w:val="005E2173"/>
    <w:rsid w:val="005E41DB"/>
    <w:rsid w:val="0060216B"/>
    <w:rsid w:val="006071A6"/>
    <w:rsid w:val="006404A4"/>
    <w:rsid w:val="00641FC2"/>
    <w:rsid w:val="006448F1"/>
    <w:rsid w:val="00647A91"/>
    <w:rsid w:val="00665DAF"/>
    <w:rsid w:val="00665DEB"/>
    <w:rsid w:val="00666DDA"/>
    <w:rsid w:val="0067158F"/>
    <w:rsid w:val="00681EF4"/>
    <w:rsid w:val="0068630D"/>
    <w:rsid w:val="006A2D06"/>
    <w:rsid w:val="006B5A26"/>
    <w:rsid w:val="006C5674"/>
    <w:rsid w:val="006C56DD"/>
    <w:rsid w:val="006C63E5"/>
    <w:rsid w:val="006C6BE8"/>
    <w:rsid w:val="006E4A68"/>
    <w:rsid w:val="00702C6F"/>
    <w:rsid w:val="007034DF"/>
    <w:rsid w:val="00705E2F"/>
    <w:rsid w:val="00705FFF"/>
    <w:rsid w:val="00731FE4"/>
    <w:rsid w:val="007376A2"/>
    <w:rsid w:val="00752B50"/>
    <w:rsid w:val="00756DDB"/>
    <w:rsid w:val="00764412"/>
    <w:rsid w:val="007879A3"/>
    <w:rsid w:val="00794CD9"/>
    <w:rsid w:val="007B05CC"/>
    <w:rsid w:val="007B0B71"/>
    <w:rsid w:val="007C0AC1"/>
    <w:rsid w:val="007C1D72"/>
    <w:rsid w:val="007C4CC5"/>
    <w:rsid w:val="007D06FD"/>
    <w:rsid w:val="007D35F9"/>
    <w:rsid w:val="007E6D8F"/>
    <w:rsid w:val="007F5306"/>
    <w:rsid w:val="0082454E"/>
    <w:rsid w:val="00826FE8"/>
    <w:rsid w:val="00827C2E"/>
    <w:rsid w:val="0087018B"/>
    <w:rsid w:val="00873442"/>
    <w:rsid w:val="00874D47"/>
    <w:rsid w:val="00884B61"/>
    <w:rsid w:val="008854D9"/>
    <w:rsid w:val="0088744C"/>
    <w:rsid w:val="00892C75"/>
    <w:rsid w:val="008B0B47"/>
    <w:rsid w:val="008B10BA"/>
    <w:rsid w:val="008B7B04"/>
    <w:rsid w:val="008C4E76"/>
    <w:rsid w:val="008C652E"/>
    <w:rsid w:val="008C7DB7"/>
    <w:rsid w:val="008E3C1E"/>
    <w:rsid w:val="008F0100"/>
    <w:rsid w:val="008F6C00"/>
    <w:rsid w:val="00901692"/>
    <w:rsid w:val="009045A2"/>
    <w:rsid w:val="00912655"/>
    <w:rsid w:val="00916BFE"/>
    <w:rsid w:val="00917FB9"/>
    <w:rsid w:val="00923FDD"/>
    <w:rsid w:val="00927DD8"/>
    <w:rsid w:val="00934B54"/>
    <w:rsid w:val="009377E7"/>
    <w:rsid w:val="00941D77"/>
    <w:rsid w:val="00943E35"/>
    <w:rsid w:val="009566F7"/>
    <w:rsid w:val="009640AD"/>
    <w:rsid w:val="00974A02"/>
    <w:rsid w:val="009A287F"/>
    <w:rsid w:val="009A6BDD"/>
    <w:rsid w:val="009B1D85"/>
    <w:rsid w:val="009B7CA5"/>
    <w:rsid w:val="009E2303"/>
    <w:rsid w:val="009E48CB"/>
    <w:rsid w:val="009F16DB"/>
    <w:rsid w:val="009F4A66"/>
    <w:rsid w:val="009F6F54"/>
    <w:rsid w:val="00A02A8E"/>
    <w:rsid w:val="00A0458E"/>
    <w:rsid w:val="00A10C8F"/>
    <w:rsid w:val="00A200AC"/>
    <w:rsid w:val="00A25BC1"/>
    <w:rsid w:val="00A3172E"/>
    <w:rsid w:val="00A35FD3"/>
    <w:rsid w:val="00A41A9B"/>
    <w:rsid w:val="00A47D6B"/>
    <w:rsid w:val="00A50C1E"/>
    <w:rsid w:val="00A62FF4"/>
    <w:rsid w:val="00A65357"/>
    <w:rsid w:val="00A763CC"/>
    <w:rsid w:val="00A97F4B"/>
    <w:rsid w:val="00AA0CCA"/>
    <w:rsid w:val="00AA0E4C"/>
    <w:rsid w:val="00AA716C"/>
    <w:rsid w:val="00AB08EC"/>
    <w:rsid w:val="00AC6593"/>
    <w:rsid w:val="00AC75D7"/>
    <w:rsid w:val="00AF0479"/>
    <w:rsid w:val="00AF286F"/>
    <w:rsid w:val="00B1595D"/>
    <w:rsid w:val="00B22817"/>
    <w:rsid w:val="00B27B15"/>
    <w:rsid w:val="00B35E3D"/>
    <w:rsid w:val="00B41DB9"/>
    <w:rsid w:val="00B42450"/>
    <w:rsid w:val="00B45913"/>
    <w:rsid w:val="00B45C35"/>
    <w:rsid w:val="00B46D6A"/>
    <w:rsid w:val="00B61CB9"/>
    <w:rsid w:val="00B61D45"/>
    <w:rsid w:val="00B623CC"/>
    <w:rsid w:val="00B71D60"/>
    <w:rsid w:val="00B91C11"/>
    <w:rsid w:val="00BB01C5"/>
    <w:rsid w:val="00BB3B41"/>
    <w:rsid w:val="00BB4986"/>
    <w:rsid w:val="00BB69ED"/>
    <w:rsid w:val="00BC1240"/>
    <w:rsid w:val="00BC1D0C"/>
    <w:rsid w:val="00BC7EC3"/>
    <w:rsid w:val="00BD1827"/>
    <w:rsid w:val="00BD30BE"/>
    <w:rsid w:val="00BD69DE"/>
    <w:rsid w:val="00BE15FC"/>
    <w:rsid w:val="00BE6E0F"/>
    <w:rsid w:val="00BF0CCD"/>
    <w:rsid w:val="00C217BE"/>
    <w:rsid w:val="00C23B59"/>
    <w:rsid w:val="00C376BC"/>
    <w:rsid w:val="00C44160"/>
    <w:rsid w:val="00C479B4"/>
    <w:rsid w:val="00C50872"/>
    <w:rsid w:val="00C633AC"/>
    <w:rsid w:val="00C738A8"/>
    <w:rsid w:val="00C773FA"/>
    <w:rsid w:val="00C83BBA"/>
    <w:rsid w:val="00C97E88"/>
    <w:rsid w:val="00CA479E"/>
    <w:rsid w:val="00CB062A"/>
    <w:rsid w:val="00CB2C6E"/>
    <w:rsid w:val="00CB4892"/>
    <w:rsid w:val="00CB4A85"/>
    <w:rsid w:val="00CB4FF2"/>
    <w:rsid w:val="00CB71F6"/>
    <w:rsid w:val="00CB748E"/>
    <w:rsid w:val="00CC5B63"/>
    <w:rsid w:val="00CD2299"/>
    <w:rsid w:val="00CF3179"/>
    <w:rsid w:val="00D05797"/>
    <w:rsid w:val="00D13626"/>
    <w:rsid w:val="00D14930"/>
    <w:rsid w:val="00D40104"/>
    <w:rsid w:val="00D42302"/>
    <w:rsid w:val="00D43741"/>
    <w:rsid w:val="00D53816"/>
    <w:rsid w:val="00D55DB1"/>
    <w:rsid w:val="00D57E74"/>
    <w:rsid w:val="00D629A9"/>
    <w:rsid w:val="00D67499"/>
    <w:rsid w:val="00D7089A"/>
    <w:rsid w:val="00D857A0"/>
    <w:rsid w:val="00D926AC"/>
    <w:rsid w:val="00D936A5"/>
    <w:rsid w:val="00DA39BD"/>
    <w:rsid w:val="00DB10DC"/>
    <w:rsid w:val="00DB4834"/>
    <w:rsid w:val="00DB5976"/>
    <w:rsid w:val="00DB6AA2"/>
    <w:rsid w:val="00DC12A6"/>
    <w:rsid w:val="00DD03FB"/>
    <w:rsid w:val="00DD081A"/>
    <w:rsid w:val="00DF239E"/>
    <w:rsid w:val="00DF770C"/>
    <w:rsid w:val="00E018F5"/>
    <w:rsid w:val="00E04709"/>
    <w:rsid w:val="00E15524"/>
    <w:rsid w:val="00E17BF9"/>
    <w:rsid w:val="00E22C14"/>
    <w:rsid w:val="00E2699B"/>
    <w:rsid w:val="00E315DB"/>
    <w:rsid w:val="00E368A6"/>
    <w:rsid w:val="00E4321D"/>
    <w:rsid w:val="00E45319"/>
    <w:rsid w:val="00E67C04"/>
    <w:rsid w:val="00E76F3D"/>
    <w:rsid w:val="00E82245"/>
    <w:rsid w:val="00E856E4"/>
    <w:rsid w:val="00E91518"/>
    <w:rsid w:val="00E926A7"/>
    <w:rsid w:val="00E92CA7"/>
    <w:rsid w:val="00EA79ED"/>
    <w:rsid w:val="00EC6630"/>
    <w:rsid w:val="00ED6ACA"/>
    <w:rsid w:val="00EF1A21"/>
    <w:rsid w:val="00F1664B"/>
    <w:rsid w:val="00F16DB5"/>
    <w:rsid w:val="00F240AC"/>
    <w:rsid w:val="00F252A9"/>
    <w:rsid w:val="00F254D7"/>
    <w:rsid w:val="00F26561"/>
    <w:rsid w:val="00F26A51"/>
    <w:rsid w:val="00F44135"/>
    <w:rsid w:val="00F442FA"/>
    <w:rsid w:val="00F47E88"/>
    <w:rsid w:val="00F60D36"/>
    <w:rsid w:val="00F66AAD"/>
    <w:rsid w:val="00F71DEB"/>
    <w:rsid w:val="00F752E5"/>
    <w:rsid w:val="00F80DC1"/>
    <w:rsid w:val="00F80F07"/>
    <w:rsid w:val="00F83B17"/>
    <w:rsid w:val="00F83DA7"/>
    <w:rsid w:val="00F87273"/>
    <w:rsid w:val="00F87BB8"/>
    <w:rsid w:val="00FA117E"/>
    <w:rsid w:val="00FD5F2D"/>
    <w:rsid w:val="00FE0D6C"/>
    <w:rsid w:val="00FE7238"/>
    <w:rsid w:val="00FF6403"/>
    <w:rsid w:val="00FF6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E3B0F-82C3-4B67-A17D-18B9525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7B"/>
  </w:style>
  <w:style w:type="paragraph" w:styleId="1">
    <w:name w:val="heading 1"/>
    <w:basedOn w:val="a"/>
    <w:link w:val="10"/>
    <w:uiPriority w:val="9"/>
    <w:qFormat/>
    <w:rsid w:val="005E1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C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0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250"/>
    <w:rPr>
      <w:b/>
      <w:bCs/>
    </w:rPr>
  </w:style>
  <w:style w:type="character" w:styleId="a5">
    <w:name w:val="Hyperlink"/>
    <w:basedOn w:val="a0"/>
    <w:uiPriority w:val="99"/>
    <w:unhideWhenUsed/>
    <w:rsid w:val="005E125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12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E2173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4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30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3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B54"/>
  </w:style>
  <w:style w:type="paragraph" w:styleId="ad">
    <w:name w:val="footer"/>
    <w:basedOn w:val="a"/>
    <w:link w:val="ae"/>
    <w:uiPriority w:val="99"/>
    <w:unhideWhenUsed/>
    <w:rsid w:val="0093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B54"/>
  </w:style>
  <w:style w:type="character" w:customStyle="1" w:styleId="20">
    <w:name w:val="Заголовок 2 Знак"/>
    <w:basedOn w:val="a0"/>
    <w:link w:val="2"/>
    <w:uiPriority w:val="9"/>
    <w:rsid w:val="00004C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next w:val="a"/>
    <w:link w:val="af0"/>
    <w:uiPriority w:val="10"/>
    <w:qFormat/>
    <w:rsid w:val="00004C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004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7B0B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2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-platform.ru/tpl-web-edit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oud.data-platform.ru/index.php/s/kMJYfifFMMn97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6695-F347-4C0F-9950-145F6C9E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Маршава Леонтий Амиранович</dc:creator>
  <cp:lastModifiedBy>Асанова Ксения Сергеевна</cp:lastModifiedBy>
  <cp:revision>7</cp:revision>
  <cp:lastPrinted>2018-12-06T04:59:00Z</cp:lastPrinted>
  <dcterms:created xsi:type="dcterms:W3CDTF">2023-08-24T10:41:00Z</dcterms:created>
  <dcterms:modified xsi:type="dcterms:W3CDTF">2023-09-11T10:32:00Z</dcterms:modified>
</cp:coreProperties>
</file>