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EC" w:rsidRPr="00B05D4C" w:rsidRDefault="000077EC" w:rsidP="00C96EBF">
      <w:pPr>
        <w:widowControl w:val="0"/>
        <w:suppressAutoHyphens/>
        <w:jc w:val="center"/>
        <w:rPr>
          <w:sz w:val="27"/>
          <w:szCs w:val="27"/>
        </w:rPr>
      </w:pPr>
      <w:r w:rsidRPr="00B05D4C">
        <w:rPr>
          <w:sz w:val="27"/>
          <w:szCs w:val="27"/>
        </w:rPr>
        <w:t>Пояснительная записка</w:t>
      </w:r>
    </w:p>
    <w:p w:rsidR="000077EC" w:rsidRPr="00B05D4C" w:rsidRDefault="000077EC" w:rsidP="00C96EBF">
      <w:pPr>
        <w:widowControl w:val="0"/>
        <w:suppressAutoHyphens/>
        <w:jc w:val="center"/>
        <w:rPr>
          <w:sz w:val="27"/>
          <w:szCs w:val="27"/>
        </w:rPr>
      </w:pPr>
      <w:r w:rsidRPr="00B05D4C">
        <w:rPr>
          <w:sz w:val="27"/>
          <w:szCs w:val="27"/>
        </w:rPr>
        <w:t>к проекту постановления Правительства Астраханской области</w:t>
      </w:r>
    </w:p>
    <w:p w:rsidR="00F31904" w:rsidRPr="00B05D4C" w:rsidRDefault="000077EC" w:rsidP="00C96EBF">
      <w:pPr>
        <w:widowControl w:val="0"/>
        <w:tabs>
          <w:tab w:val="left" w:pos="4111"/>
          <w:tab w:val="left" w:pos="4253"/>
        </w:tabs>
        <w:suppressAutoHyphens/>
        <w:ind w:firstLine="142"/>
        <w:jc w:val="center"/>
        <w:rPr>
          <w:sz w:val="27"/>
          <w:szCs w:val="27"/>
        </w:rPr>
      </w:pPr>
      <w:r w:rsidRPr="00B05D4C">
        <w:rPr>
          <w:sz w:val="27"/>
          <w:szCs w:val="27"/>
        </w:rPr>
        <w:t>«</w:t>
      </w:r>
      <w:r w:rsidR="007674C9" w:rsidRPr="00B05D4C">
        <w:rPr>
          <w:sz w:val="27"/>
          <w:szCs w:val="27"/>
        </w:rPr>
        <w:t>О тарифах на перемещение и хранение задержанных транспортных средств на долгосрочный период регулирования</w:t>
      </w:r>
      <w:r w:rsidRPr="00B05D4C">
        <w:rPr>
          <w:sz w:val="27"/>
          <w:szCs w:val="27"/>
        </w:rPr>
        <w:t xml:space="preserve">» </w:t>
      </w:r>
    </w:p>
    <w:p w:rsidR="004C722C" w:rsidRPr="00C96EBF" w:rsidRDefault="004C722C" w:rsidP="00C96EBF">
      <w:pPr>
        <w:widowControl w:val="0"/>
        <w:suppressAutoHyphens/>
        <w:ind w:firstLine="851"/>
        <w:jc w:val="both"/>
        <w:rPr>
          <w:szCs w:val="27"/>
        </w:rPr>
      </w:pPr>
    </w:p>
    <w:p w:rsidR="003C232A" w:rsidRPr="00B05D4C" w:rsidRDefault="003C232A" w:rsidP="00C96EB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05D4C">
        <w:rPr>
          <w:sz w:val="27"/>
          <w:szCs w:val="27"/>
        </w:rPr>
        <w:t xml:space="preserve">Приказом Федеральной антимонопольной службы от 15.08.2016 № 1145/16 утверждены </w:t>
      </w:r>
      <w:r w:rsidR="00A6231D" w:rsidRPr="00B05D4C">
        <w:rPr>
          <w:sz w:val="27"/>
          <w:szCs w:val="27"/>
        </w:rPr>
        <w:t>М</w:t>
      </w:r>
      <w:r w:rsidRPr="00B05D4C">
        <w:rPr>
          <w:sz w:val="27"/>
          <w:szCs w:val="27"/>
        </w:rPr>
        <w:t>етодические указ</w:t>
      </w:r>
      <w:r w:rsidR="0000593B" w:rsidRPr="00B05D4C">
        <w:rPr>
          <w:sz w:val="27"/>
          <w:szCs w:val="27"/>
        </w:rPr>
        <w:t>ания по расчету тарифов на пере</w:t>
      </w:r>
      <w:r w:rsidRPr="00B05D4C">
        <w:rPr>
          <w:sz w:val="27"/>
          <w:szCs w:val="27"/>
        </w:rPr>
        <w:t xml:space="preserve">мещение </w:t>
      </w:r>
      <w:r w:rsidR="00C96EBF">
        <w:rPr>
          <w:sz w:val="27"/>
          <w:szCs w:val="27"/>
        </w:rPr>
        <w:br/>
      </w:r>
      <w:r w:rsidRPr="00B05D4C">
        <w:rPr>
          <w:sz w:val="27"/>
          <w:szCs w:val="27"/>
        </w:rPr>
        <w:t xml:space="preserve">и хранение задержанных транспортных средств и установлению сроков оплаты (далее – </w:t>
      </w:r>
      <w:r w:rsidR="00870469" w:rsidRPr="00B05D4C">
        <w:rPr>
          <w:sz w:val="27"/>
          <w:szCs w:val="27"/>
        </w:rPr>
        <w:t>М</w:t>
      </w:r>
      <w:r w:rsidRPr="00B05D4C">
        <w:rPr>
          <w:sz w:val="27"/>
          <w:szCs w:val="27"/>
        </w:rPr>
        <w:t>етодические указания).</w:t>
      </w:r>
    </w:p>
    <w:p w:rsidR="003C232A" w:rsidRPr="00B05D4C" w:rsidRDefault="003C232A" w:rsidP="00C96EB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05D4C">
        <w:rPr>
          <w:sz w:val="27"/>
          <w:szCs w:val="27"/>
        </w:rPr>
        <w:t xml:space="preserve">Пунктом 4 </w:t>
      </w:r>
      <w:r w:rsidR="0096275A" w:rsidRPr="00B05D4C">
        <w:rPr>
          <w:sz w:val="27"/>
          <w:szCs w:val="27"/>
        </w:rPr>
        <w:t>М</w:t>
      </w:r>
      <w:r w:rsidRPr="00B05D4C">
        <w:rPr>
          <w:sz w:val="27"/>
          <w:szCs w:val="27"/>
        </w:rPr>
        <w:t>етодических указаний определено, что тарифы на перемещение и хранение задержанных транспортных средств устанавливаются по результатам торгов (аукцион на понижение цены) по выбору исполнителя услуг</w:t>
      </w:r>
      <w:r w:rsidR="00D10B6D" w:rsidRPr="00B05D4C">
        <w:rPr>
          <w:sz w:val="27"/>
          <w:szCs w:val="27"/>
        </w:rPr>
        <w:t xml:space="preserve"> </w:t>
      </w:r>
      <w:r w:rsidR="00A85DB9" w:rsidRPr="00B05D4C">
        <w:rPr>
          <w:sz w:val="27"/>
          <w:szCs w:val="27"/>
        </w:rPr>
        <w:t>(</w:t>
      </w:r>
      <w:r w:rsidR="00D10B6D" w:rsidRPr="00B05D4C">
        <w:rPr>
          <w:sz w:val="27"/>
          <w:szCs w:val="27"/>
        </w:rPr>
        <w:t>коммерческая</w:t>
      </w:r>
      <w:r w:rsidR="00870469" w:rsidRPr="00B05D4C">
        <w:rPr>
          <w:sz w:val="27"/>
          <w:szCs w:val="27"/>
        </w:rPr>
        <w:t xml:space="preserve"> </w:t>
      </w:r>
      <w:r w:rsidR="00D10B6D" w:rsidRPr="00B05D4C">
        <w:rPr>
          <w:sz w:val="27"/>
          <w:szCs w:val="27"/>
        </w:rPr>
        <w:t>организация, некоммерческая организация, осуществляющая деятельность, приносящую ей доход, индивидуальный предприниматель</w:t>
      </w:r>
      <w:r w:rsidR="00A85DB9" w:rsidRPr="00B05D4C">
        <w:rPr>
          <w:sz w:val="27"/>
          <w:szCs w:val="27"/>
        </w:rPr>
        <w:t>)</w:t>
      </w:r>
      <w:r w:rsidR="00D10B6D" w:rsidRPr="00B05D4C">
        <w:rPr>
          <w:sz w:val="27"/>
          <w:szCs w:val="27"/>
        </w:rPr>
        <w:t xml:space="preserve"> по перемещению </w:t>
      </w:r>
      <w:r w:rsidR="00B05D4C">
        <w:rPr>
          <w:sz w:val="27"/>
          <w:szCs w:val="27"/>
        </w:rPr>
        <w:br/>
      </w:r>
      <w:r w:rsidR="00D10B6D" w:rsidRPr="00B05D4C">
        <w:rPr>
          <w:sz w:val="27"/>
          <w:szCs w:val="27"/>
        </w:rPr>
        <w:t xml:space="preserve">и (или) хранению задержанных транспортных средств (далее </w:t>
      </w:r>
      <w:r w:rsidR="00870469" w:rsidRPr="00B05D4C">
        <w:rPr>
          <w:sz w:val="27"/>
          <w:szCs w:val="27"/>
        </w:rPr>
        <w:t>–</w:t>
      </w:r>
      <w:r w:rsidR="00D10B6D" w:rsidRPr="00B05D4C">
        <w:rPr>
          <w:sz w:val="27"/>
          <w:szCs w:val="27"/>
        </w:rPr>
        <w:t xml:space="preserve"> исполнитель услуг)</w:t>
      </w:r>
      <w:r w:rsidRPr="00B05D4C">
        <w:rPr>
          <w:sz w:val="27"/>
          <w:szCs w:val="27"/>
        </w:rPr>
        <w:t>. Начальной максимальной ценой таких торгов является базовый уровень тарифов, определенный органами регулировани</w:t>
      </w:r>
      <w:r w:rsidR="00870469" w:rsidRPr="00B05D4C">
        <w:rPr>
          <w:sz w:val="27"/>
          <w:szCs w:val="27"/>
        </w:rPr>
        <w:t>я в соответствии с положениями М</w:t>
      </w:r>
      <w:r w:rsidRPr="00B05D4C">
        <w:rPr>
          <w:sz w:val="27"/>
          <w:szCs w:val="27"/>
        </w:rPr>
        <w:t>етодических указаний.</w:t>
      </w:r>
    </w:p>
    <w:p w:rsidR="00373AB1" w:rsidRPr="00B05D4C" w:rsidRDefault="00373AB1" w:rsidP="00C96EBF">
      <w:pPr>
        <w:widowControl w:val="0"/>
        <w:tabs>
          <w:tab w:val="left" w:pos="1276"/>
        </w:tabs>
        <w:suppressAutoHyphens/>
        <w:ind w:firstLine="709"/>
        <w:jc w:val="both"/>
        <w:rPr>
          <w:sz w:val="27"/>
          <w:szCs w:val="27"/>
        </w:rPr>
      </w:pPr>
      <w:r w:rsidRPr="00B05D4C">
        <w:rPr>
          <w:sz w:val="27"/>
          <w:szCs w:val="27"/>
        </w:rPr>
        <w:t xml:space="preserve">Постановлением Правительства Астраханской области от </w:t>
      </w:r>
      <w:r w:rsidR="00D85658" w:rsidRPr="00B05D4C">
        <w:rPr>
          <w:sz w:val="27"/>
          <w:szCs w:val="27"/>
        </w:rPr>
        <w:t>13</w:t>
      </w:r>
      <w:r w:rsidRPr="00B05D4C">
        <w:rPr>
          <w:sz w:val="27"/>
          <w:szCs w:val="27"/>
        </w:rPr>
        <w:t>.</w:t>
      </w:r>
      <w:r w:rsidR="00D85658" w:rsidRPr="00B05D4C">
        <w:rPr>
          <w:sz w:val="27"/>
          <w:szCs w:val="27"/>
        </w:rPr>
        <w:t>09</w:t>
      </w:r>
      <w:r w:rsidRPr="00B05D4C">
        <w:rPr>
          <w:sz w:val="27"/>
          <w:szCs w:val="27"/>
        </w:rPr>
        <w:t>.202</w:t>
      </w:r>
      <w:r w:rsidR="00D85658" w:rsidRPr="00B05D4C">
        <w:rPr>
          <w:sz w:val="27"/>
          <w:szCs w:val="27"/>
        </w:rPr>
        <w:t>2</w:t>
      </w:r>
      <w:r w:rsidRPr="00B05D4C">
        <w:rPr>
          <w:sz w:val="27"/>
          <w:szCs w:val="27"/>
        </w:rPr>
        <w:t xml:space="preserve"> </w:t>
      </w:r>
      <w:r w:rsidR="00B05D4C">
        <w:rPr>
          <w:sz w:val="27"/>
          <w:szCs w:val="27"/>
        </w:rPr>
        <w:br/>
      </w:r>
      <w:r w:rsidRPr="00B05D4C">
        <w:rPr>
          <w:sz w:val="27"/>
          <w:szCs w:val="27"/>
        </w:rPr>
        <w:t>№</w:t>
      </w:r>
      <w:r w:rsidR="00857B67" w:rsidRPr="00B05D4C">
        <w:rPr>
          <w:sz w:val="27"/>
          <w:szCs w:val="27"/>
        </w:rPr>
        <w:t xml:space="preserve"> </w:t>
      </w:r>
      <w:r w:rsidR="00D85658" w:rsidRPr="00B05D4C">
        <w:rPr>
          <w:sz w:val="27"/>
          <w:szCs w:val="27"/>
        </w:rPr>
        <w:t>437</w:t>
      </w:r>
      <w:r w:rsidRPr="00B05D4C">
        <w:rPr>
          <w:sz w:val="27"/>
          <w:szCs w:val="27"/>
        </w:rPr>
        <w:t>-П</w:t>
      </w:r>
      <w:r w:rsidR="00D10B6D" w:rsidRPr="00B05D4C">
        <w:rPr>
          <w:sz w:val="27"/>
          <w:szCs w:val="27"/>
        </w:rPr>
        <w:t xml:space="preserve"> </w:t>
      </w:r>
      <w:r w:rsidRPr="00B05D4C">
        <w:rPr>
          <w:sz w:val="27"/>
          <w:szCs w:val="27"/>
        </w:rPr>
        <w:t>«</w:t>
      </w:r>
      <w:r w:rsidR="00D53112" w:rsidRPr="00B05D4C">
        <w:rPr>
          <w:sz w:val="27"/>
          <w:szCs w:val="27"/>
        </w:rPr>
        <w:t xml:space="preserve">О базовом уровне тарифов на перемещение и хранение задержанных транспортных средств на </w:t>
      </w:r>
      <w:r w:rsidR="0010245A" w:rsidRPr="00B05D4C">
        <w:rPr>
          <w:sz w:val="27"/>
          <w:szCs w:val="27"/>
        </w:rPr>
        <w:t>территории Астра</w:t>
      </w:r>
      <w:r w:rsidR="00D53112" w:rsidRPr="00B05D4C">
        <w:rPr>
          <w:sz w:val="27"/>
          <w:szCs w:val="27"/>
        </w:rPr>
        <w:t>ханской области</w:t>
      </w:r>
      <w:r w:rsidRPr="00B05D4C">
        <w:rPr>
          <w:sz w:val="27"/>
          <w:szCs w:val="27"/>
        </w:rPr>
        <w:t xml:space="preserve">» определены тарифы </w:t>
      </w:r>
      <w:r w:rsidR="00A85DB9" w:rsidRPr="00B05D4C">
        <w:rPr>
          <w:sz w:val="27"/>
          <w:szCs w:val="27"/>
        </w:rPr>
        <w:t>н</w:t>
      </w:r>
      <w:r w:rsidRPr="00B05D4C">
        <w:rPr>
          <w:sz w:val="27"/>
          <w:szCs w:val="27"/>
        </w:rPr>
        <w:t xml:space="preserve">а перемещение и хранение задержанных транспортных средств </w:t>
      </w:r>
      <w:r w:rsidR="0010245A" w:rsidRPr="00B05D4C">
        <w:rPr>
          <w:sz w:val="27"/>
          <w:szCs w:val="27"/>
        </w:rPr>
        <w:t xml:space="preserve">на первый год долгосрочного регулирования </w:t>
      </w:r>
      <w:r w:rsidRPr="00B05D4C">
        <w:rPr>
          <w:sz w:val="27"/>
          <w:szCs w:val="27"/>
        </w:rPr>
        <w:t>по категориям:</w:t>
      </w:r>
    </w:p>
    <w:p w:rsidR="00EA1E69" w:rsidRPr="00B05D4C" w:rsidRDefault="006E6C75" w:rsidP="00C96EB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05D4C">
        <w:rPr>
          <w:sz w:val="27"/>
          <w:szCs w:val="27"/>
        </w:rPr>
        <w:t>1)</w:t>
      </w:r>
      <w:r w:rsidR="00E62A83" w:rsidRPr="00B05D4C">
        <w:rPr>
          <w:sz w:val="27"/>
          <w:szCs w:val="27"/>
        </w:rPr>
        <w:t xml:space="preserve"> </w:t>
      </w:r>
      <w:r w:rsidR="00A85DB9" w:rsidRPr="00B05D4C">
        <w:rPr>
          <w:sz w:val="27"/>
          <w:szCs w:val="27"/>
        </w:rPr>
        <w:t>н</w:t>
      </w:r>
      <w:r w:rsidR="000077EC" w:rsidRPr="00B05D4C">
        <w:rPr>
          <w:sz w:val="27"/>
          <w:szCs w:val="27"/>
        </w:rPr>
        <w:t xml:space="preserve">а хранение задержанных транспортных средств </w:t>
      </w:r>
      <w:r w:rsidR="00DD22F9" w:rsidRPr="00B05D4C">
        <w:rPr>
          <w:sz w:val="27"/>
          <w:szCs w:val="27"/>
        </w:rPr>
        <w:t>в размере:</w:t>
      </w:r>
      <w:r w:rsidR="00E650E0" w:rsidRPr="00B05D4C">
        <w:rPr>
          <w:sz w:val="27"/>
          <w:szCs w:val="27"/>
        </w:rPr>
        <w:t xml:space="preserve"> </w:t>
      </w:r>
    </w:p>
    <w:p w:rsidR="00DD22F9" w:rsidRPr="00B05D4C" w:rsidRDefault="00DD22F9" w:rsidP="00C96EBF">
      <w:pPr>
        <w:widowControl w:val="0"/>
        <w:suppressAutoHyphens/>
        <w:autoSpaceDE w:val="0"/>
        <w:autoSpaceDN w:val="0"/>
        <w:adjustRightInd w:val="0"/>
        <w:ind w:firstLine="709"/>
        <w:rPr>
          <w:sz w:val="27"/>
          <w:szCs w:val="27"/>
        </w:rPr>
      </w:pPr>
      <w:r w:rsidRPr="00B05D4C">
        <w:rPr>
          <w:sz w:val="27"/>
          <w:szCs w:val="27"/>
        </w:rPr>
        <w:t xml:space="preserve">Категории А – </w:t>
      </w:r>
      <w:r w:rsidR="00B00A29" w:rsidRPr="00B05D4C">
        <w:rPr>
          <w:sz w:val="27"/>
          <w:szCs w:val="27"/>
        </w:rPr>
        <w:t>34</w:t>
      </w:r>
      <w:r w:rsidRPr="00B05D4C">
        <w:rPr>
          <w:sz w:val="27"/>
          <w:szCs w:val="27"/>
        </w:rPr>
        <w:t xml:space="preserve"> руб./час,</w:t>
      </w:r>
    </w:p>
    <w:p w:rsidR="00DD22F9" w:rsidRPr="00B05D4C" w:rsidRDefault="00DD22F9" w:rsidP="00C96EBF">
      <w:pPr>
        <w:widowControl w:val="0"/>
        <w:suppressAutoHyphens/>
        <w:autoSpaceDE w:val="0"/>
        <w:autoSpaceDN w:val="0"/>
        <w:adjustRightInd w:val="0"/>
        <w:ind w:firstLine="709"/>
        <w:rPr>
          <w:sz w:val="27"/>
          <w:szCs w:val="27"/>
        </w:rPr>
      </w:pPr>
      <w:r w:rsidRPr="00B05D4C">
        <w:rPr>
          <w:sz w:val="27"/>
          <w:szCs w:val="27"/>
        </w:rPr>
        <w:t xml:space="preserve">Категорий В и D до 3,5 тонн – </w:t>
      </w:r>
      <w:r w:rsidR="00B00A29" w:rsidRPr="00B05D4C">
        <w:rPr>
          <w:sz w:val="27"/>
          <w:szCs w:val="27"/>
        </w:rPr>
        <w:t>67</w:t>
      </w:r>
      <w:r w:rsidRPr="00B05D4C">
        <w:rPr>
          <w:sz w:val="27"/>
          <w:szCs w:val="27"/>
        </w:rPr>
        <w:t xml:space="preserve"> руб./час,</w:t>
      </w:r>
    </w:p>
    <w:p w:rsidR="00DD22F9" w:rsidRPr="00B05D4C" w:rsidRDefault="00DD22F9" w:rsidP="00C96EBF">
      <w:pPr>
        <w:widowControl w:val="0"/>
        <w:suppressAutoHyphens/>
        <w:autoSpaceDE w:val="0"/>
        <w:autoSpaceDN w:val="0"/>
        <w:adjustRightInd w:val="0"/>
        <w:ind w:firstLine="709"/>
        <w:rPr>
          <w:sz w:val="27"/>
          <w:szCs w:val="27"/>
        </w:rPr>
      </w:pPr>
      <w:r w:rsidRPr="00B05D4C">
        <w:rPr>
          <w:sz w:val="27"/>
          <w:szCs w:val="27"/>
        </w:rPr>
        <w:t xml:space="preserve">Категорий D массой более 3,5 тонн, С и Е – </w:t>
      </w:r>
      <w:r w:rsidR="00B00A29" w:rsidRPr="00B05D4C">
        <w:rPr>
          <w:sz w:val="27"/>
          <w:szCs w:val="27"/>
        </w:rPr>
        <w:t>135</w:t>
      </w:r>
      <w:r w:rsidRPr="00B05D4C">
        <w:rPr>
          <w:sz w:val="27"/>
          <w:szCs w:val="27"/>
        </w:rPr>
        <w:t xml:space="preserve"> руб./час,</w:t>
      </w:r>
    </w:p>
    <w:p w:rsidR="00DD22F9" w:rsidRPr="00B05D4C" w:rsidRDefault="00DD22F9" w:rsidP="00C96EBF">
      <w:pPr>
        <w:widowControl w:val="0"/>
        <w:suppressAutoHyphens/>
        <w:autoSpaceDE w:val="0"/>
        <w:autoSpaceDN w:val="0"/>
        <w:adjustRightInd w:val="0"/>
        <w:ind w:firstLine="709"/>
        <w:rPr>
          <w:sz w:val="27"/>
          <w:szCs w:val="27"/>
        </w:rPr>
      </w:pPr>
      <w:r w:rsidRPr="00B05D4C">
        <w:rPr>
          <w:sz w:val="27"/>
          <w:szCs w:val="27"/>
        </w:rPr>
        <w:t xml:space="preserve">Негабаритные транспортные средства – </w:t>
      </w:r>
      <w:r w:rsidR="00B00A29" w:rsidRPr="00B05D4C">
        <w:rPr>
          <w:sz w:val="27"/>
          <w:szCs w:val="27"/>
        </w:rPr>
        <w:t>2</w:t>
      </w:r>
      <w:r w:rsidRPr="00B05D4C">
        <w:rPr>
          <w:sz w:val="27"/>
          <w:szCs w:val="27"/>
        </w:rPr>
        <w:t>02 руб./час.</w:t>
      </w:r>
    </w:p>
    <w:p w:rsidR="00DD22F9" w:rsidRPr="00B05D4C" w:rsidRDefault="006E6C75" w:rsidP="00C96EB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B05D4C">
        <w:rPr>
          <w:sz w:val="27"/>
          <w:szCs w:val="27"/>
        </w:rPr>
        <w:t xml:space="preserve">2) </w:t>
      </w:r>
      <w:r w:rsidR="006D4509" w:rsidRPr="00B05D4C">
        <w:rPr>
          <w:sz w:val="27"/>
          <w:szCs w:val="27"/>
        </w:rPr>
        <w:t xml:space="preserve">на </w:t>
      </w:r>
      <w:r w:rsidR="004900D3" w:rsidRPr="00B05D4C">
        <w:rPr>
          <w:sz w:val="27"/>
          <w:szCs w:val="27"/>
        </w:rPr>
        <w:t xml:space="preserve">перемещение </w:t>
      </w:r>
      <w:r w:rsidR="0045708B" w:rsidRPr="00B05D4C">
        <w:rPr>
          <w:sz w:val="27"/>
          <w:szCs w:val="27"/>
        </w:rPr>
        <w:t xml:space="preserve">одного </w:t>
      </w:r>
      <w:r w:rsidR="004900D3" w:rsidRPr="00B05D4C">
        <w:rPr>
          <w:sz w:val="27"/>
          <w:szCs w:val="27"/>
        </w:rPr>
        <w:t>заде</w:t>
      </w:r>
      <w:r w:rsidR="00DD22F9" w:rsidRPr="00B05D4C">
        <w:rPr>
          <w:sz w:val="27"/>
          <w:szCs w:val="27"/>
        </w:rPr>
        <w:t xml:space="preserve">ржанного </w:t>
      </w:r>
      <w:r w:rsidR="00BA002E" w:rsidRPr="00B05D4C">
        <w:rPr>
          <w:sz w:val="27"/>
          <w:szCs w:val="27"/>
        </w:rPr>
        <w:t xml:space="preserve">транспортного средства </w:t>
      </w:r>
      <w:r w:rsidR="00DD22F9" w:rsidRPr="00B05D4C">
        <w:rPr>
          <w:sz w:val="27"/>
          <w:szCs w:val="27"/>
        </w:rPr>
        <w:t>в размере:</w:t>
      </w:r>
    </w:p>
    <w:p w:rsidR="00DD22F9" w:rsidRPr="00B05D4C" w:rsidRDefault="00D750BF" w:rsidP="00C96EBF">
      <w:pPr>
        <w:widowControl w:val="0"/>
        <w:suppressAutoHyphens/>
        <w:autoSpaceDE w:val="0"/>
        <w:autoSpaceDN w:val="0"/>
        <w:adjustRightInd w:val="0"/>
        <w:ind w:firstLine="709"/>
        <w:rPr>
          <w:sz w:val="27"/>
          <w:szCs w:val="27"/>
        </w:rPr>
      </w:pPr>
      <w:r w:rsidRPr="00B05D4C">
        <w:rPr>
          <w:sz w:val="27"/>
          <w:szCs w:val="27"/>
        </w:rPr>
        <w:t>–</w:t>
      </w:r>
      <w:r w:rsidR="00DD22F9" w:rsidRPr="00B05D4C">
        <w:rPr>
          <w:sz w:val="27"/>
          <w:szCs w:val="27"/>
        </w:rPr>
        <w:t xml:space="preserve"> до 15 км включительно </w:t>
      </w:r>
      <w:r w:rsidR="00C541D6" w:rsidRPr="00B05D4C">
        <w:rPr>
          <w:sz w:val="27"/>
          <w:szCs w:val="27"/>
        </w:rPr>
        <w:t>–</w:t>
      </w:r>
      <w:r w:rsidR="00DD22F9" w:rsidRPr="00B05D4C">
        <w:rPr>
          <w:sz w:val="27"/>
          <w:szCs w:val="27"/>
        </w:rPr>
        <w:t xml:space="preserve"> 2</w:t>
      </w:r>
      <w:r w:rsidR="00C541D6" w:rsidRPr="00B05D4C">
        <w:rPr>
          <w:sz w:val="27"/>
          <w:szCs w:val="27"/>
        </w:rPr>
        <w:t> </w:t>
      </w:r>
      <w:r w:rsidR="005C1C3C" w:rsidRPr="00B05D4C">
        <w:rPr>
          <w:sz w:val="27"/>
          <w:szCs w:val="27"/>
        </w:rPr>
        <w:t>25</w:t>
      </w:r>
      <w:r w:rsidR="006D4509" w:rsidRPr="00B05D4C">
        <w:rPr>
          <w:sz w:val="27"/>
          <w:szCs w:val="27"/>
        </w:rPr>
        <w:t>3</w:t>
      </w:r>
      <w:r w:rsidR="00DD22F9" w:rsidRPr="00B05D4C">
        <w:rPr>
          <w:sz w:val="27"/>
          <w:szCs w:val="27"/>
        </w:rPr>
        <w:t xml:space="preserve"> руб./ед.;</w:t>
      </w:r>
    </w:p>
    <w:p w:rsidR="00DD22F9" w:rsidRPr="00B05D4C" w:rsidRDefault="00D750BF" w:rsidP="00C96EBF">
      <w:pPr>
        <w:widowControl w:val="0"/>
        <w:suppressAutoHyphens/>
        <w:autoSpaceDE w:val="0"/>
        <w:autoSpaceDN w:val="0"/>
        <w:adjustRightInd w:val="0"/>
        <w:ind w:firstLine="709"/>
        <w:rPr>
          <w:sz w:val="27"/>
          <w:szCs w:val="27"/>
        </w:rPr>
      </w:pPr>
      <w:r w:rsidRPr="00B05D4C">
        <w:rPr>
          <w:sz w:val="27"/>
          <w:szCs w:val="27"/>
        </w:rPr>
        <w:t>–</w:t>
      </w:r>
      <w:r w:rsidR="00DD22F9" w:rsidRPr="00B05D4C">
        <w:rPr>
          <w:sz w:val="27"/>
          <w:szCs w:val="27"/>
        </w:rPr>
        <w:t xml:space="preserve"> свыше 15 км – 1</w:t>
      </w:r>
      <w:r w:rsidR="005C1C3C" w:rsidRPr="00B05D4C">
        <w:rPr>
          <w:sz w:val="27"/>
          <w:szCs w:val="27"/>
        </w:rPr>
        <w:t>44</w:t>
      </w:r>
      <w:r w:rsidR="00DD22F9" w:rsidRPr="00B05D4C">
        <w:rPr>
          <w:sz w:val="27"/>
          <w:szCs w:val="27"/>
        </w:rPr>
        <w:t xml:space="preserve"> рубля </w:t>
      </w:r>
      <w:r w:rsidR="005C1C3C" w:rsidRPr="00B05D4C">
        <w:rPr>
          <w:sz w:val="27"/>
          <w:szCs w:val="27"/>
        </w:rPr>
        <w:t>67</w:t>
      </w:r>
      <w:r w:rsidR="00DD22F9" w:rsidRPr="00B05D4C">
        <w:rPr>
          <w:sz w:val="27"/>
          <w:szCs w:val="27"/>
        </w:rPr>
        <w:t xml:space="preserve"> копеек</w:t>
      </w:r>
      <w:r w:rsidR="00324E07" w:rsidRPr="00B05D4C">
        <w:rPr>
          <w:sz w:val="27"/>
          <w:szCs w:val="27"/>
        </w:rPr>
        <w:t xml:space="preserve"> за 1 км</w:t>
      </w:r>
      <w:r w:rsidR="00DD22F9" w:rsidRPr="00B05D4C">
        <w:rPr>
          <w:sz w:val="27"/>
          <w:szCs w:val="27"/>
        </w:rPr>
        <w:t>.</w:t>
      </w:r>
    </w:p>
    <w:p w:rsidR="00D53112" w:rsidRPr="00B05D4C" w:rsidRDefault="00D53112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4C">
        <w:rPr>
          <w:sz w:val="27"/>
          <w:szCs w:val="27"/>
        </w:rPr>
        <w:t xml:space="preserve">По результатам торгов по выбору исполнителя услуг по перемещению </w:t>
      </w:r>
      <w:r w:rsidR="00B05D4C">
        <w:rPr>
          <w:sz w:val="27"/>
          <w:szCs w:val="27"/>
        </w:rPr>
        <w:br/>
      </w:r>
      <w:r w:rsidRPr="00B05D4C">
        <w:rPr>
          <w:sz w:val="27"/>
          <w:szCs w:val="27"/>
        </w:rPr>
        <w:t xml:space="preserve">и (или) хранению задержанных транспортных средств на территории Астраханской области </w:t>
      </w:r>
      <w:r w:rsidR="00A85DB9" w:rsidRPr="00B05D4C">
        <w:rPr>
          <w:sz w:val="27"/>
          <w:szCs w:val="27"/>
        </w:rPr>
        <w:t>на первый год долгосрочного периода регулирования (2023-2025 гг.)</w:t>
      </w:r>
      <w:r w:rsidRPr="00B05D4C">
        <w:rPr>
          <w:sz w:val="27"/>
          <w:szCs w:val="27"/>
        </w:rPr>
        <w:t>,</w:t>
      </w:r>
      <w:r w:rsidR="00A85DB9" w:rsidRPr="00B05D4C">
        <w:rPr>
          <w:sz w:val="27"/>
          <w:szCs w:val="27"/>
        </w:rPr>
        <w:t xml:space="preserve"> </w:t>
      </w:r>
      <w:r w:rsidRPr="00B05D4C">
        <w:rPr>
          <w:sz w:val="27"/>
          <w:szCs w:val="27"/>
        </w:rPr>
        <w:t>проведенных министерством транспорта и дорожной инфраструктуры Астраханской области</w:t>
      </w:r>
      <w:r w:rsidR="00495BB4" w:rsidRPr="00B05D4C">
        <w:rPr>
          <w:sz w:val="27"/>
          <w:szCs w:val="27"/>
        </w:rPr>
        <w:t>,</w:t>
      </w:r>
      <w:r w:rsidR="00A85DB9" w:rsidRPr="00B05D4C">
        <w:rPr>
          <w:sz w:val="27"/>
          <w:szCs w:val="27"/>
        </w:rPr>
        <w:t xml:space="preserve"> </w:t>
      </w:r>
      <w:r w:rsidRPr="00B05D4C">
        <w:rPr>
          <w:sz w:val="27"/>
          <w:szCs w:val="27"/>
        </w:rPr>
        <w:t>торги</w:t>
      </w:r>
      <w:r w:rsidR="00A85DB9" w:rsidRPr="00B05D4C">
        <w:rPr>
          <w:sz w:val="27"/>
          <w:szCs w:val="27"/>
        </w:rPr>
        <w:t xml:space="preserve"> </w:t>
      </w:r>
      <w:r w:rsidRPr="00B05D4C">
        <w:rPr>
          <w:sz w:val="27"/>
          <w:szCs w:val="27"/>
        </w:rPr>
        <w:t>признаны несостоявшимися</w:t>
      </w:r>
      <w:r w:rsidR="00A85DB9" w:rsidRPr="00B05D4C">
        <w:rPr>
          <w:sz w:val="27"/>
          <w:szCs w:val="27"/>
        </w:rPr>
        <w:t xml:space="preserve"> (протокол от 18.11.2022)</w:t>
      </w:r>
      <w:r w:rsidRPr="00B05D4C">
        <w:rPr>
          <w:sz w:val="27"/>
          <w:szCs w:val="27"/>
        </w:rPr>
        <w:t>.</w:t>
      </w:r>
    </w:p>
    <w:p w:rsidR="002C79F7" w:rsidRPr="00B05D4C" w:rsidRDefault="002C79F7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4C">
        <w:rPr>
          <w:sz w:val="27"/>
          <w:szCs w:val="27"/>
        </w:rPr>
        <w:t xml:space="preserve">В соответствии с абзацем 2 пункта 4 Методических указаний в случае признания торгов несостоявшимися орган регулирования устанавливает тариф </w:t>
      </w:r>
      <w:r w:rsidR="00B05D4C">
        <w:rPr>
          <w:sz w:val="27"/>
          <w:szCs w:val="27"/>
        </w:rPr>
        <w:br/>
      </w:r>
      <w:r w:rsidRPr="00B05D4C">
        <w:rPr>
          <w:sz w:val="27"/>
          <w:szCs w:val="27"/>
        </w:rPr>
        <w:t>в размере не выше определенного базового уровня.</w:t>
      </w:r>
    </w:p>
    <w:p w:rsidR="002C79F7" w:rsidRPr="00B05D4C" w:rsidRDefault="002C79F7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4C">
        <w:rPr>
          <w:sz w:val="27"/>
          <w:szCs w:val="27"/>
        </w:rPr>
        <w:t xml:space="preserve">Пунктом 6 Методических указаний предусмотрено, что тарифы устанавливаются на прогнозный период, который составляет не менее календарного года. В случае установления долгосрочных тарифов срок их действия не может быть менее 5 лет, а при установлении указанных тарифов впервые, срок их действия не должен превышать 3 года, но окончание их действия должно совпадать с окончанием календарного года. Долгосрочные тарифы (сроком действия 3 года и более) подлежат ежегодной корректировке, которая </w:t>
      </w:r>
      <w:r w:rsidRPr="00B05D4C">
        <w:rPr>
          <w:sz w:val="27"/>
          <w:szCs w:val="27"/>
        </w:rPr>
        <w:lastRenderedPageBreak/>
        <w:t>осуществляется методом индексации или методом сравнения сопоставимых рыночных цен (анализа рынка).</w:t>
      </w:r>
    </w:p>
    <w:p w:rsidR="00A85DB9" w:rsidRPr="00B05D4C" w:rsidRDefault="002C79F7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4C">
        <w:rPr>
          <w:sz w:val="27"/>
          <w:szCs w:val="27"/>
        </w:rPr>
        <w:t xml:space="preserve">В соответствии с пунктом 20 Методических рекомендаций изменение тарифов ограничивается индексом потребительских цен, в базовом варианте прогноза социально-экономического развития Российской Федерации. </w:t>
      </w:r>
      <w:r w:rsidR="00A85DB9" w:rsidRPr="00B05D4C">
        <w:rPr>
          <w:sz w:val="27"/>
          <w:szCs w:val="27"/>
        </w:rPr>
        <w:t xml:space="preserve">Тарифы на 2024-2025 гг. определены </w:t>
      </w:r>
      <w:r w:rsidR="00495BB4" w:rsidRPr="00B05D4C">
        <w:rPr>
          <w:sz w:val="27"/>
          <w:szCs w:val="27"/>
        </w:rPr>
        <w:t xml:space="preserve">службой по тарифам Астраханской области </w:t>
      </w:r>
      <w:r w:rsidR="00B05D4C">
        <w:rPr>
          <w:sz w:val="27"/>
          <w:szCs w:val="27"/>
        </w:rPr>
        <w:t xml:space="preserve">(далее – Служба) </w:t>
      </w:r>
      <w:r w:rsidR="00A85DB9" w:rsidRPr="00B05D4C">
        <w:rPr>
          <w:sz w:val="27"/>
          <w:szCs w:val="27"/>
        </w:rPr>
        <w:t xml:space="preserve">с учетом показателей инфляции потребительских цен в среднем за год </w:t>
      </w:r>
      <w:r w:rsidR="00495BB4" w:rsidRPr="00B05D4C">
        <w:rPr>
          <w:sz w:val="27"/>
          <w:szCs w:val="27"/>
        </w:rPr>
        <w:t xml:space="preserve">на </w:t>
      </w:r>
      <w:r w:rsidR="00B05D4C" w:rsidRPr="00B05D4C">
        <w:rPr>
          <w:sz w:val="27"/>
          <w:szCs w:val="27"/>
        </w:rPr>
        <w:t xml:space="preserve">период </w:t>
      </w:r>
      <w:r w:rsidR="00A85DB9" w:rsidRPr="00B05D4C">
        <w:rPr>
          <w:sz w:val="27"/>
          <w:szCs w:val="27"/>
        </w:rPr>
        <w:t>2024/2023 в размере 104,7</w:t>
      </w:r>
      <w:r w:rsidR="00B05D4C" w:rsidRPr="00B05D4C">
        <w:rPr>
          <w:sz w:val="27"/>
          <w:szCs w:val="27"/>
        </w:rPr>
        <w:t xml:space="preserve"> </w:t>
      </w:r>
      <w:r w:rsidR="00A85DB9" w:rsidRPr="00B05D4C">
        <w:rPr>
          <w:sz w:val="27"/>
          <w:szCs w:val="27"/>
        </w:rPr>
        <w:t>%</w:t>
      </w:r>
      <w:r w:rsidR="00B05D4C" w:rsidRPr="00B05D4C">
        <w:rPr>
          <w:sz w:val="27"/>
          <w:szCs w:val="27"/>
        </w:rPr>
        <w:t>,</w:t>
      </w:r>
      <w:r w:rsidR="00A85DB9" w:rsidRPr="00B05D4C">
        <w:rPr>
          <w:sz w:val="27"/>
          <w:szCs w:val="27"/>
        </w:rPr>
        <w:t xml:space="preserve"> </w:t>
      </w:r>
      <w:r w:rsidR="00B05D4C" w:rsidRPr="00B05D4C">
        <w:rPr>
          <w:sz w:val="27"/>
          <w:szCs w:val="27"/>
        </w:rPr>
        <w:t xml:space="preserve">на период </w:t>
      </w:r>
      <w:r w:rsidR="00A85DB9" w:rsidRPr="00B05D4C">
        <w:rPr>
          <w:sz w:val="27"/>
          <w:szCs w:val="27"/>
        </w:rPr>
        <w:t>2025/2024 в размере 104,0%</w:t>
      </w:r>
      <w:r w:rsidR="00B05D4C" w:rsidRPr="00B05D4C">
        <w:rPr>
          <w:sz w:val="27"/>
          <w:szCs w:val="27"/>
        </w:rPr>
        <w:t>,</w:t>
      </w:r>
      <w:r w:rsidR="00A85DB9" w:rsidRPr="00B05D4C">
        <w:rPr>
          <w:sz w:val="27"/>
          <w:szCs w:val="27"/>
        </w:rPr>
        <w:t xml:space="preserve"> </w:t>
      </w:r>
      <w:r w:rsidR="00B05D4C" w:rsidRPr="00B05D4C">
        <w:rPr>
          <w:sz w:val="27"/>
          <w:szCs w:val="27"/>
        </w:rPr>
        <w:t xml:space="preserve">определенных </w:t>
      </w:r>
      <w:r w:rsidR="00A85DB9" w:rsidRPr="00B05D4C">
        <w:rPr>
          <w:sz w:val="27"/>
          <w:szCs w:val="27"/>
        </w:rPr>
        <w:t>прогноз</w:t>
      </w:r>
      <w:r w:rsidR="00B05D4C" w:rsidRPr="00B05D4C">
        <w:rPr>
          <w:sz w:val="27"/>
          <w:szCs w:val="27"/>
        </w:rPr>
        <w:t>ом</w:t>
      </w:r>
      <w:r w:rsidR="00A85DB9" w:rsidRPr="00B05D4C">
        <w:rPr>
          <w:sz w:val="27"/>
          <w:szCs w:val="27"/>
        </w:rPr>
        <w:t xml:space="preserve"> социально-экономического развития Российской Федерации</w:t>
      </w:r>
      <w:r w:rsidR="00B05D4C" w:rsidRPr="00B05D4C">
        <w:rPr>
          <w:sz w:val="27"/>
          <w:szCs w:val="27"/>
        </w:rPr>
        <w:t xml:space="preserve"> (</w:t>
      </w:r>
      <w:r w:rsidR="00A85DB9" w:rsidRPr="00B05D4C">
        <w:rPr>
          <w:sz w:val="27"/>
          <w:szCs w:val="27"/>
        </w:rPr>
        <w:t>размещен на сайте Минэкономразвития России www.economy.gov.ru по состоянию на 28.09.2022</w:t>
      </w:r>
      <w:r w:rsidR="00B05D4C" w:rsidRPr="00B05D4C">
        <w:rPr>
          <w:sz w:val="27"/>
          <w:szCs w:val="27"/>
        </w:rPr>
        <w:t>)</w:t>
      </w:r>
      <w:r w:rsidR="00A85DB9" w:rsidRPr="00B05D4C">
        <w:rPr>
          <w:sz w:val="27"/>
          <w:szCs w:val="27"/>
        </w:rPr>
        <w:t>.</w:t>
      </w:r>
    </w:p>
    <w:p w:rsidR="00A85DB9" w:rsidRPr="00B05D4C" w:rsidRDefault="00A85DB9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4C">
        <w:rPr>
          <w:sz w:val="27"/>
          <w:szCs w:val="27"/>
        </w:rPr>
        <w:t xml:space="preserve">С учетом изложенного, </w:t>
      </w:r>
      <w:r w:rsidR="00B05D4C">
        <w:rPr>
          <w:sz w:val="27"/>
          <w:szCs w:val="27"/>
        </w:rPr>
        <w:t>С</w:t>
      </w:r>
      <w:r w:rsidRPr="00B05D4C">
        <w:rPr>
          <w:sz w:val="27"/>
          <w:szCs w:val="27"/>
        </w:rPr>
        <w:t>лужбой подготовлен проект постановления Правительства Астраханской области «О тарифах на перемещение и хранение задержанных транспортных средств на долгосрочный период регулирования» (далее – проект).</w:t>
      </w:r>
    </w:p>
    <w:p w:rsidR="00542AE9" w:rsidRPr="00B05D4C" w:rsidRDefault="00627C47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4C">
        <w:rPr>
          <w:sz w:val="27"/>
          <w:szCs w:val="27"/>
        </w:rPr>
        <w:t xml:space="preserve">Принятие постановления Правительства Астраханской области </w:t>
      </w:r>
      <w:r w:rsidR="00B40C37" w:rsidRPr="00B05D4C">
        <w:rPr>
          <w:sz w:val="27"/>
          <w:szCs w:val="27"/>
        </w:rPr>
        <w:t>«</w:t>
      </w:r>
      <w:r w:rsidR="00D85658" w:rsidRPr="00B05D4C">
        <w:rPr>
          <w:sz w:val="27"/>
          <w:szCs w:val="27"/>
        </w:rPr>
        <w:t>О тарифах на перемещение и хранение задержанных транспортных средств на долгосрочный период регулирования</w:t>
      </w:r>
      <w:r w:rsidR="00B40C37" w:rsidRPr="00B05D4C">
        <w:rPr>
          <w:sz w:val="27"/>
          <w:szCs w:val="27"/>
        </w:rPr>
        <w:t xml:space="preserve">» </w:t>
      </w:r>
      <w:r w:rsidR="00542AE9" w:rsidRPr="00B05D4C">
        <w:rPr>
          <w:sz w:val="27"/>
          <w:szCs w:val="27"/>
        </w:rPr>
        <w:t>не потребует внесения изменений в иные нормативные правовые акты Астраханской области, в том числе признания их утратившими силу, и выделения дополнительных финансовых средств из бюджета Астраханской области.</w:t>
      </w:r>
    </w:p>
    <w:p w:rsidR="00D85658" w:rsidRPr="00B05D4C" w:rsidRDefault="00D85658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4C">
        <w:rPr>
          <w:sz w:val="27"/>
          <w:szCs w:val="27"/>
        </w:rPr>
        <w:t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D85658" w:rsidRPr="00B05D4C" w:rsidRDefault="00D85658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4C">
        <w:rPr>
          <w:sz w:val="27"/>
          <w:szCs w:val="27"/>
        </w:rPr>
        <w:t>Проект не содержит положения,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D85658" w:rsidRPr="00B05D4C" w:rsidRDefault="00D85658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05D4C">
        <w:rPr>
          <w:sz w:val="27"/>
          <w:szCs w:val="27"/>
        </w:rPr>
        <w:t>Проект для проведения независимой антикоррупционной экспертизы размещен 2</w:t>
      </w:r>
      <w:r w:rsidR="00A85DB9" w:rsidRPr="00B05D4C">
        <w:rPr>
          <w:sz w:val="27"/>
          <w:szCs w:val="27"/>
        </w:rPr>
        <w:t>3</w:t>
      </w:r>
      <w:r w:rsidRPr="00B05D4C">
        <w:rPr>
          <w:sz w:val="27"/>
          <w:szCs w:val="27"/>
        </w:rPr>
        <w:t>.11.2022 на официальном портале антикоррупционной экспертизы, и в целях выявления рисков нарушения антимонопольного законодательства на официальном сайте Службы в информационно-телекоммуникационной сети «Интернет» https://tarif.astrobl.ru.</w:t>
      </w:r>
    </w:p>
    <w:p w:rsidR="000077EC" w:rsidRPr="00B05D4C" w:rsidRDefault="00D85658" w:rsidP="00C96EB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7"/>
          <w:szCs w:val="27"/>
        </w:rPr>
      </w:pPr>
      <w:r w:rsidRPr="00B05D4C">
        <w:rPr>
          <w:sz w:val="27"/>
          <w:szCs w:val="27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 w:rsidR="000138FA" w:rsidRPr="00C96EBF" w:rsidRDefault="000138FA" w:rsidP="00C96EB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FF0000"/>
          <w:sz w:val="22"/>
          <w:szCs w:val="22"/>
        </w:rPr>
      </w:pPr>
    </w:p>
    <w:p w:rsidR="00B05D4C" w:rsidRPr="00C96EBF" w:rsidRDefault="00B05D4C" w:rsidP="00C96EB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FF0000"/>
          <w:sz w:val="22"/>
          <w:szCs w:val="22"/>
        </w:rPr>
      </w:pPr>
    </w:p>
    <w:p w:rsidR="0086047E" w:rsidRPr="00C96EBF" w:rsidRDefault="0086047E" w:rsidP="00C96EB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FF0000"/>
          <w:sz w:val="22"/>
          <w:szCs w:val="22"/>
        </w:rPr>
      </w:pPr>
    </w:p>
    <w:p w:rsidR="00B41E60" w:rsidRPr="00B05D4C" w:rsidRDefault="005723BE" w:rsidP="00C96EBF">
      <w:pPr>
        <w:widowControl w:val="0"/>
        <w:suppressAutoHyphens/>
        <w:rPr>
          <w:sz w:val="27"/>
          <w:szCs w:val="27"/>
        </w:rPr>
      </w:pPr>
      <w:r w:rsidRPr="00B05D4C">
        <w:rPr>
          <w:sz w:val="27"/>
          <w:szCs w:val="27"/>
        </w:rPr>
        <w:t>Р</w:t>
      </w:r>
      <w:r w:rsidR="00716AE5" w:rsidRPr="00B05D4C">
        <w:rPr>
          <w:sz w:val="27"/>
          <w:szCs w:val="27"/>
        </w:rPr>
        <w:t>уководител</w:t>
      </w:r>
      <w:r w:rsidRPr="00B05D4C">
        <w:rPr>
          <w:sz w:val="27"/>
          <w:szCs w:val="27"/>
        </w:rPr>
        <w:t>ь</w:t>
      </w:r>
      <w:r w:rsidR="00B41E60" w:rsidRPr="00B05D4C">
        <w:rPr>
          <w:sz w:val="27"/>
          <w:szCs w:val="27"/>
        </w:rPr>
        <w:t xml:space="preserve"> </w:t>
      </w:r>
      <w:r w:rsidR="00556B45" w:rsidRPr="00B05D4C">
        <w:rPr>
          <w:sz w:val="27"/>
          <w:szCs w:val="27"/>
        </w:rPr>
        <w:t xml:space="preserve">службы по тарифам </w:t>
      </w:r>
    </w:p>
    <w:p w:rsidR="000077EC" w:rsidRPr="00B05D4C" w:rsidRDefault="00556B45" w:rsidP="00C96EBF">
      <w:pPr>
        <w:widowControl w:val="0"/>
        <w:suppressAutoHyphens/>
        <w:rPr>
          <w:sz w:val="27"/>
          <w:szCs w:val="27"/>
        </w:rPr>
      </w:pPr>
      <w:r w:rsidRPr="00B05D4C">
        <w:rPr>
          <w:sz w:val="27"/>
          <w:szCs w:val="27"/>
        </w:rPr>
        <w:t>Астраханской области</w:t>
      </w:r>
      <w:r w:rsidR="000077EC" w:rsidRPr="00B05D4C">
        <w:rPr>
          <w:sz w:val="27"/>
          <w:szCs w:val="27"/>
        </w:rPr>
        <w:t xml:space="preserve">                               </w:t>
      </w:r>
      <w:r w:rsidR="00D55E47" w:rsidRPr="00B05D4C">
        <w:rPr>
          <w:sz w:val="27"/>
          <w:szCs w:val="27"/>
        </w:rPr>
        <w:t xml:space="preserve">  </w:t>
      </w:r>
      <w:r w:rsidR="007814C1" w:rsidRPr="00B05D4C">
        <w:rPr>
          <w:sz w:val="27"/>
          <w:szCs w:val="27"/>
        </w:rPr>
        <w:t xml:space="preserve">  </w:t>
      </w:r>
      <w:r w:rsidR="00D55E47" w:rsidRPr="00B05D4C">
        <w:rPr>
          <w:sz w:val="27"/>
          <w:szCs w:val="27"/>
        </w:rPr>
        <w:t xml:space="preserve"> </w:t>
      </w:r>
      <w:r w:rsidR="00B41E60" w:rsidRPr="00B05D4C">
        <w:rPr>
          <w:sz w:val="27"/>
          <w:szCs w:val="27"/>
        </w:rPr>
        <w:t xml:space="preserve">   </w:t>
      </w:r>
      <w:r w:rsidR="00857B67" w:rsidRPr="00B05D4C">
        <w:rPr>
          <w:sz w:val="27"/>
          <w:szCs w:val="27"/>
        </w:rPr>
        <w:t xml:space="preserve">              </w:t>
      </w:r>
      <w:r w:rsidR="00B05D4C">
        <w:rPr>
          <w:sz w:val="27"/>
          <w:szCs w:val="27"/>
        </w:rPr>
        <w:t xml:space="preserve">     </w:t>
      </w:r>
      <w:r w:rsidR="00857B67" w:rsidRPr="00B05D4C">
        <w:rPr>
          <w:sz w:val="27"/>
          <w:szCs w:val="27"/>
        </w:rPr>
        <w:t xml:space="preserve">         </w:t>
      </w:r>
      <w:r w:rsidR="00EF4402" w:rsidRPr="00B05D4C">
        <w:rPr>
          <w:sz w:val="27"/>
          <w:szCs w:val="27"/>
        </w:rPr>
        <w:t xml:space="preserve">     </w:t>
      </w:r>
      <w:r w:rsidR="005723BE" w:rsidRPr="00B05D4C">
        <w:rPr>
          <w:sz w:val="27"/>
          <w:szCs w:val="27"/>
        </w:rPr>
        <w:t>О.В. Степанищева</w:t>
      </w:r>
    </w:p>
    <w:p w:rsidR="000B4F33" w:rsidRPr="000138FA" w:rsidRDefault="000B4F33" w:rsidP="00C96EBF">
      <w:pPr>
        <w:framePr w:w="8524" w:wrap="auto" w:hAnchor="text" w:x="2410"/>
        <w:widowControl w:val="0"/>
        <w:rPr>
          <w:color w:val="FF0000"/>
          <w:sz w:val="27"/>
          <w:szCs w:val="27"/>
        </w:rPr>
        <w:sectPr w:rsidR="000B4F33" w:rsidRPr="000138FA" w:rsidSect="00C96EBF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0442FD" w:rsidRDefault="000442FD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0442FD" w:rsidRDefault="000442FD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Pr="00851CD4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Cs w:val="28"/>
        </w:rPr>
      </w:pPr>
    </w:p>
    <w:p w:rsidR="00C14EE6" w:rsidRPr="00851CD4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Pr="000442FD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0"/>
          <w:szCs w:val="20"/>
        </w:rPr>
      </w:pPr>
    </w:p>
    <w:p w:rsidR="008B0975" w:rsidRPr="00E75333" w:rsidRDefault="001829CC" w:rsidP="00E75333">
      <w:pPr>
        <w:widowControl w:val="0"/>
        <w:ind w:right="5243"/>
        <w:jc w:val="both"/>
        <w:rPr>
          <w:sz w:val="27"/>
          <w:szCs w:val="27"/>
        </w:rPr>
      </w:pPr>
      <w:r w:rsidRPr="00E75333">
        <w:rPr>
          <w:sz w:val="27"/>
          <w:szCs w:val="27"/>
        </w:rPr>
        <w:t>О тарифах на перемещение и хранение задержанных транспортных средств на долгосрочный период регулирования</w:t>
      </w:r>
    </w:p>
    <w:p w:rsidR="00595DFC" w:rsidRPr="00E75333" w:rsidRDefault="00595DFC" w:rsidP="00870469">
      <w:pPr>
        <w:widowControl w:val="0"/>
        <w:ind w:right="5101"/>
        <w:jc w:val="both"/>
        <w:rPr>
          <w:sz w:val="27"/>
          <w:szCs w:val="27"/>
        </w:rPr>
      </w:pPr>
    </w:p>
    <w:p w:rsidR="00C96EBF" w:rsidRPr="00E75333" w:rsidRDefault="00C96EBF" w:rsidP="00870469">
      <w:pPr>
        <w:widowControl w:val="0"/>
        <w:ind w:right="5101"/>
        <w:jc w:val="both"/>
        <w:rPr>
          <w:sz w:val="27"/>
          <w:szCs w:val="27"/>
        </w:rPr>
      </w:pPr>
    </w:p>
    <w:p w:rsidR="00595DFC" w:rsidRPr="00E75333" w:rsidRDefault="00595DFC" w:rsidP="00870469">
      <w:pPr>
        <w:widowControl w:val="0"/>
        <w:ind w:right="5101"/>
        <w:jc w:val="both"/>
        <w:rPr>
          <w:sz w:val="27"/>
          <w:szCs w:val="27"/>
        </w:rPr>
      </w:pPr>
    </w:p>
    <w:p w:rsidR="001829CC" w:rsidRPr="00E75333" w:rsidRDefault="001829CC" w:rsidP="001829CC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75333">
        <w:rPr>
          <w:sz w:val="27"/>
          <w:szCs w:val="27"/>
        </w:rPr>
        <w:t>В соответствии с Кодексом Российской Федерации об административных правонарушениях, приказом Федеральной антимонопольной службы от 15.08.2016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</w:t>
      </w:r>
    </w:p>
    <w:p w:rsidR="001829CC" w:rsidRPr="00E75333" w:rsidRDefault="001829CC" w:rsidP="001829C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75333">
        <w:rPr>
          <w:sz w:val="27"/>
          <w:szCs w:val="27"/>
        </w:rPr>
        <w:t>Правительство Астраханской области ПОСТАНОВЛЯЕТ:</w:t>
      </w:r>
    </w:p>
    <w:p w:rsidR="001829CC" w:rsidRPr="00E75333" w:rsidRDefault="001829CC" w:rsidP="001829CC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75333">
        <w:rPr>
          <w:sz w:val="27"/>
          <w:szCs w:val="27"/>
        </w:rPr>
        <w:t>1.</w:t>
      </w:r>
      <w:r w:rsidR="00C96EBF" w:rsidRPr="00E75333">
        <w:rPr>
          <w:sz w:val="27"/>
          <w:szCs w:val="27"/>
        </w:rPr>
        <w:t> </w:t>
      </w:r>
      <w:r w:rsidRPr="00E75333">
        <w:rPr>
          <w:sz w:val="27"/>
          <w:szCs w:val="27"/>
        </w:rPr>
        <w:t xml:space="preserve">Установить тарифы на перемещение и хранение задержанных транспортных средств </w:t>
      </w:r>
      <w:r w:rsidR="00285AD8" w:rsidRPr="00E75333">
        <w:rPr>
          <w:sz w:val="27"/>
          <w:szCs w:val="27"/>
        </w:rPr>
        <w:t xml:space="preserve">на территории Астраханской области </w:t>
      </w:r>
      <w:r w:rsidRPr="00E75333">
        <w:rPr>
          <w:sz w:val="27"/>
          <w:szCs w:val="27"/>
        </w:rPr>
        <w:t xml:space="preserve">на </w:t>
      </w:r>
      <w:r w:rsidR="0034762C" w:rsidRPr="00E75333">
        <w:rPr>
          <w:sz w:val="27"/>
          <w:szCs w:val="27"/>
        </w:rPr>
        <w:t xml:space="preserve">долгосрочный период регулирования </w:t>
      </w:r>
      <w:r w:rsidRPr="00E75333">
        <w:rPr>
          <w:sz w:val="27"/>
          <w:szCs w:val="27"/>
        </w:rPr>
        <w:t>202</w:t>
      </w:r>
      <w:r w:rsidR="0034762C" w:rsidRPr="00E75333">
        <w:rPr>
          <w:sz w:val="27"/>
          <w:szCs w:val="27"/>
        </w:rPr>
        <w:t>3</w:t>
      </w:r>
      <w:r w:rsidR="00592C55" w:rsidRPr="00E75333">
        <w:rPr>
          <w:sz w:val="27"/>
          <w:szCs w:val="27"/>
        </w:rPr>
        <w:t>–</w:t>
      </w:r>
      <w:r w:rsidR="0034762C" w:rsidRPr="00E75333">
        <w:rPr>
          <w:sz w:val="27"/>
          <w:szCs w:val="27"/>
        </w:rPr>
        <w:t>2025 г</w:t>
      </w:r>
      <w:r w:rsidR="00592C55" w:rsidRPr="00E75333">
        <w:rPr>
          <w:sz w:val="27"/>
          <w:szCs w:val="27"/>
        </w:rPr>
        <w:t>г.</w:t>
      </w:r>
      <w:r w:rsidR="0034762C" w:rsidRPr="00E75333">
        <w:rPr>
          <w:sz w:val="27"/>
          <w:szCs w:val="27"/>
        </w:rPr>
        <w:t xml:space="preserve"> </w:t>
      </w:r>
      <w:r w:rsidRPr="00E75333">
        <w:rPr>
          <w:sz w:val="27"/>
          <w:szCs w:val="27"/>
        </w:rPr>
        <w:t>согласно приложению к настоящему постановлению.</w:t>
      </w:r>
    </w:p>
    <w:p w:rsidR="001829CC" w:rsidRPr="00E75333" w:rsidRDefault="001829CC" w:rsidP="001829CC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75333">
        <w:rPr>
          <w:sz w:val="27"/>
          <w:szCs w:val="27"/>
        </w:rPr>
        <w:t>2.</w:t>
      </w:r>
      <w:r w:rsidR="00C96EBF" w:rsidRPr="00E75333">
        <w:rPr>
          <w:sz w:val="27"/>
          <w:szCs w:val="27"/>
        </w:rPr>
        <w:t> </w:t>
      </w:r>
      <w:r w:rsidRPr="00E75333">
        <w:rPr>
          <w:sz w:val="27"/>
          <w:szCs w:val="27"/>
        </w:rPr>
        <w:t xml:space="preserve">Установить, что оплата расходов на перемещение задержанного транспортного средства осуществляется исходя из </w:t>
      </w:r>
      <w:r w:rsidR="0034762C" w:rsidRPr="00E75333">
        <w:rPr>
          <w:sz w:val="27"/>
          <w:szCs w:val="27"/>
        </w:rPr>
        <w:t xml:space="preserve">расстояния от места задержания транспортного средства до специализированной стоянки, оплата расходов на хранение </w:t>
      </w:r>
      <w:r w:rsidRPr="00E75333">
        <w:rPr>
          <w:sz w:val="27"/>
          <w:szCs w:val="27"/>
        </w:rPr>
        <w:t xml:space="preserve">задержанного транспортного средства </w:t>
      </w:r>
      <w:r w:rsidR="0034762C" w:rsidRPr="00E75333">
        <w:rPr>
          <w:sz w:val="27"/>
          <w:szCs w:val="27"/>
        </w:rPr>
        <w:t xml:space="preserve">осуществляется исходя из категории задержанного транспортного средства </w:t>
      </w:r>
      <w:r w:rsidR="00592C55" w:rsidRPr="00E75333">
        <w:rPr>
          <w:sz w:val="27"/>
          <w:szCs w:val="27"/>
        </w:rPr>
        <w:t>и времени хранения на специализированной стоянке.</w:t>
      </w:r>
      <w:r w:rsidRPr="00E75333">
        <w:rPr>
          <w:sz w:val="27"/>
          <w:szCs w:val="27"/>
        </w:rPr>
        <w:t xml:space="preserve"> </w:t>
      </w:r>
    </w:p>
    <w:p w:rsidR="001829CC" w:rsidRPr="00E75333" w:rsidRDefault="001829CC" w:rsidP="001829CC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75333">
        <w:rPr>
          <w:sz w:val="27"/>
          <w:szCs w:val="27"/>
        </w:rPr>
        <w:t>3.</w:t>
      </w:r>
      <w:r w:rsidR="00C96EBF" w:rsidRPr="00E75333">
        <w:rPr>
          <w:sz w:val="27"/>
          <w:szCs w:val="27"/>
        </w:rPr>
        <w:t> </w:t>
      </w:r>
      <w:r w:rsidRPr="00E75333">
        <w:rPr>
          <w:sz w:val="27"/>
          <w:szCs w:val="27"/>
        </w:rPr>
        <w:t>Установить, что при определении стоимости оплаты расходов на перемещение и хранение задержанных транспортных средств применяется округление до суммы, кратной 50 копейкам, при этом сумма до 25 копеек округляется до целого рубля в мень</w:t>
      </w:r>
      <w:r w:rsidR="00592C55" w:rsidRPr="00E75333">
        <w:rPr>
          <w:sz w:val="27"/>
          <w:szCs w:val="27"/>
        </w:rPr>
        <w:t xml:space="preserve">шую сторону, от 25 до 75 копеек – </w:t>
      </w:r>
      <w:r w:rsidRPr="00E75333">
        <w:rPr>
          <w:sz w:val="27"/>
          <w:szCs w:val="27"/>
        </w:rPr>
        <w:t xml:space="preserve">до 50 копеек, от 75 копеек и более </w:t>
      </w:r>
      <w:r w:rsidR="0034762C" w:rsidRPr="00E75333">
        <w:rPr>
          <w:sz w:val="27"/>
          <w:szCs w:val="27"/>
        </w:rPr>
        <w:t>–</w:t>
      </w:r>
      <w:r w:rsidRPr="00E75333">
        <w:rPr>
          <w:sz w:val="27"/>
          <w:szCs w:val="27"/>
        </w:rPr>
        <w:t xml:space="preserve"> до целого рубля в большую сторону.</w:t>
      </w:r>
    </w:p>
    <w:p w:rsidR="00066E2B" w:rsidRPr="00E75333" w:rsidRDefault="001829CC" w:rsidP="001829CC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75333">
        <w:rPr>
          <w:sz w:val="27"/>
          <w:szCs w:val="27"/>
        </w:rPr>
        <w:t>4.</w:t>
      </w:r>
      <w:r w:rsidR="00C96EBF" w:rsidRPr="00E75333">
        <w:rPr>
          <w:sz w:val="27"/>
          <w:szCs w:val="27"/>
        </w:rPr>
        <w:t> </w:t>
      </w:r>
      <w:r w:rsidRPr="00E75333">
        <w:rPr>
          <w:sz w:val="27"/>
          <w:szCs w:val="27"/>
        </w:rPr>
        <w:t>Постановление вступает в силу с 01.01.2023 и действует по 31.12.202</w:t>
      </w:r>
      <w:r w:rsidR="00C64395" w:rsidRPr="00E75333">
        <w:rPr>
          <w:sz w:val="27"/>
          <w:szCs w:val="27"/>
        </w:rPr>
        <w:t>5</w:t>
      </w:r>
      <w:r w:rsidRPr="00E75333">
        <w:rPr>
          <w:sz w:val="27"/>
          <w:szCs w:val="27"/>
        </w:rPr>
        <w:t>.</w:t>
      </w:r>
    </w:p>
    <w:p w:rsidR="00B019BD" w:rsidRPr="00E75333" w:rsidRDefault="00B019BD" w:rsidP="00870469">
      <w:pPr>
        <w:pStyle w:val="ConsNonformat"/>
        <w:jc w:val="both"/>
        <w:rPr>
          <w:rFonts w:ascii="Times New Roman" w:hAnsi="Times New Roman" w:cs="Times New Roman"/>
          <w:sz w:val="27"/>
          <w:szCs w:val="27"/>
        </w:rPr>
      </w:pPr>
    </w:p>
    <w:p w:rsidR="001829CC" w:rsidRPr="00E75333" w:rsidRDefault="001829CC" w:rsidP="00870469">
      <w:pPr>
        <w:pStyle w:val="ConsNonformat"/>
        <w:jc w:val="both"/>
        <w:rPr>
          <w:rFonts w:ascii="Times New Roman" w:hAnsi="Times New Roman" w:cs="Times New Roman"/>
          <w:sz w:val="27"/>
          <w:szCs w:val="27"/>
        </w:rPr>
      </w:pPr>
    </w:p>
    <w:p w:rsidR="008B0975" w:rsidRPr="00E75333" w:rsidRDefault="008B0975" w:rsidP="00870469">
      <w:pPr>
        <w:pStyle w:val="ConsNonformat"/>
        <w:jc w:val="both"/>
        <w:rPr>
          <w:rFonts w:ascii="Times New Roman" w:hAnsi="Times New Roman" w:cs="Times New Roman"/>
          <w:sz w:val="27"/>
          <w:szCs w:val="27"/>
        </w:rPr>
      </w:pPr>
    </w:p>
    <w:p w:rsidR="00C1579E" w:rsidRPr="00E75333" w:rsidRDefault="00C1579E" w:rsidP="00C1579E">
      <w:pPr>
        <w:widowControl w:val="0"/>
        <w:tabs>
          <w:tab w:val="left" w:pos="5220"/>
        </w:tabs>
        <w:adjustRightInd w:val="0"/>
        <w:jc w:val="both"/>
        <w:outlineLvl w:val="0"/>
        <w:rPr>
          <w:sz w:val="27"/>
          <w:szCs w:val="27"/>
        </w:rPr>
      </w:pPr>
      <w:r w:rsidRPr="00E75333">
        <w:rPr>
          <w:sz w:val="27"/>
          <w:szCs w:val="27"/>
        </w:rPr>
        <w:t>Вице-</w:t>
      </w:r>
      <w:r w:rsidR="00B805F5" w:rsidRPr="00E75333">
        <w:rPr>
          <w:sz w:val="27"/>
          <w:szCs w:val="27"/>
        </w:rPr>
        <w:t>г</w:t>
      </w:r>
      <w:r w:rsidRPr="00E75333">
        <w:rPr>
          <w:sz w:val="27"/>
          <w:szCs w:val="27"/>
        </w:rPr>
        <w:t xml:space="preserve">убернатор – председатель </w:t>
      </w:r>
    </w:p>
    <w:p w:rsidR="000B4F33" w:rsidRPr="00E75333" w:rsidRDefault="00C1579E" w:rsidP="00C1579E">
      <w:pPr>
        <w:widowControl w:val="0"/>
        <w:tabs>
          <w:tab w:val="left" w:pos="5220"/>
        </w:tabs>
        <w:adjustRightInd w:val="0"/>
        <w:jc w:val="both"/>
        <w:outlineLvl w:val="0"/>
        <w:rPr>
          <w:sz w:val="27"/>
          <w:szCs w:val="27"/>
        </w:rPr>
        <w:sectPr w:rsidR="000B4F33" w:rsidRPr="00E75333" w:rsidSect="00E75333">
          <w:pgSz w:w="11906" w:h="16838"/>
          <w:pgMar w:top="1134" w:right="567" w:bottom="1134" w:left="2127" w:header="708" w:footer="708" w:gutter="0"/>
          <w:cols w:space="708"/>
          <w:titlePg/>
          <w:docGrid w:linePitch="360"/>
        </w:sectPr>
      </w:pPr>
      <w:r w:rsidRPr="00E75333">
        <w:rPr>
          <w:sz w:val="27"/>
          <w:szCs w:val="27"/>
        </w:rPr>
        <w:t>Правительства Астраханской области</w:t>
      </w:r>
      <w:r w:rsidR="000B4F33" w:rsidRPr="00E75333">
        <w:rPr>
          <w:sz w:val="27"/>
          <w:szCs w:val="27"/>
        </w:rPr>
        <w:t xml:space="preserve">         </w:t>
      </w:r>
      <w:r w:rsidR="008B0975" w:rsidRPr="00E75333">
        <w:rPr>
          <w:sz w:val="27"/>
          <w:szCs w:val="27"/>
        </w:rPr>
        <w:t xml:space="preserve">           </w:t>
      </w:r>
      <w:r w:rsidR="001829CC" w:rsidRPr="00E75333">
        <w:rPr>
          <w:sz w:val="27"/>
          <w:szCs w:val="27"/>
        </w:rPr>
        <w:t xml:space="preserve">     </w:t>
      </w:r>
      <w:r w:rsidR="008B0975" w:rsidRPr="00E75333">
        <w:rPr>
          <w:sz w:val="27"/>
          <w:szCs w:val="27"/>
        </w:rPr>
        <w:t xml:space="preserve"> </w:t>
      </w:r>
      <w:r w:rsidR="00C14EE6" w:rsidRPr="00E75333">
        <w:rPr>
          <w:sz w:val="27"/>
          <w:szCs w:val="27"/>
        </w:rPr>
        <w:t xml:space="preserve">    </w:t>
      </w:r>
      <w:r w:rsidR="00C96EBF" w:rsidRPr="00E75333">
        <w:rPr>
          <w:sz w:val="27"/>
          <w:szCs w:val="27"/>
        </w:rPr>
        <w:t xml:space="preserve">        </w:t>
      </w:r>
      <w:r w:rsidR="008B0975" w:rsidRPr="00E75333">
        <w:rPr>
          <w:sz w:val="27"/>
          <w:szCs w:val="27"/>
        </w:rPr>
        <w:t xml:space="preserve"> </w:t>
      </w:r>
      <w:r w:rsidR="00066E2B" w:rsidRPr="00E75333">
        <w:rPr>
          <w:sz w:val="27"/>
          <w:szCs w:val="27"/>
        </w:rPr>
        <w:t xml:space="preserve"> </w:t>
      </w:r>
      <w:r w:rsidR="00314B24" w:rsidRPr="00E75333">
        <w:rPr>
          <w:sz w:val="27"/>
          <w:szCs w:val="27"/>
        </w:rPr>
        <w:t xml:space="preserve">  </w:t>
      </w:r>
      <w:r w:rsidRPr="00E75333">
        <w:rPr>
          <w:sz w:val="27"/>
          <w:szCs w:val="27"/>
        </w:rPr>
        <w:t xml:space="preserve">      О</w:t>
      </w:r>
      <w:r w:rsidR="00066E2B" w:rsidRPr="00E75333">
        <w:rPr>
          <w:sz w:val="27"/>
          <w:szCs w:val="27"/>
        </w:rPr>
        <w:t>.</w:t>
      </w:r>
      <w:r w:rsidRPr="00E75333">
        <w:rPr>
          <w:sz w:val="27"/>
          <w:szCs w:val="27"/>
        </w:rPr>
        <w:t>А</w:t>
      </w:r>
      <w:r w:rsidR="00066E2B" w:rsidRPr="00E75333">
        <w:rPr>
          <w:sz w:val="27"/>
          <w:szCs w:val="27"/>
        </w:rPr>
        <w:t xml:space="preserve">. </w:t>
      </w:r>
      <w:r w:rsidRPr="00E75333">
        <w:rPr>
          <w:sz w:val="27"/>
          <w:szCs w:val="27"/>
        </w:rPr>
        <w:t>Князев</w:t>
      </w:r>
    </w:p>
    <w:p w:rsidR="00A2641C" w:rsidRPr="00627C47" w:rsidRDefault="00A2641C" w:rsidP="00870469">
      <w:pPr>
        <w:widowControl w:val="0"/>
        <w:autoSpaceDE w:val="0"/>
        <w:autoSpaceDN w:val="0"/>
        <w:adjustRightInd w:val="0"/>
        <w:ind w:left="5245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>Приложение</w:t>
      </w:r>
    </w:p>
    <w:p w:rsidR="000B4F33" w:rsidRPr="00627C47" w:rsidRDefault="00CD7CFF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 xml:space="preserve">к </w:t>
      </w:r>
      <w:r w:rsidR="001C65E7" w:rsidRPr="00627C47">
        <w:rPr>
          <w:rFonts w:eastAsiaTheme="minorHAnsi"/>
          <w:sz w:val="28"/>
          <w:szCs w:val="28"/>
          <w:lang w:eastAsia="en-US"/>
        </w:rPr>
        <w:t>п</w:t>
      </w:r>
      <w:r w:rsidRPr="00627C47">
        <w:rPr>
          <w:rFonts w:eastAsiaTheme="minorHAnsi"/>
          <w:sz w:val="28"/>
          <w:szCs w:val="28"/>
          <w:lang w:eastAsia="en-US"/>
        </w:rPr>
        <w:t xml:space="preserve">остановлению </w:t>
      </w:r>
    </w:p>
    <w:p w:rsidR="00A2641C" w:rsidRPr="00627C47" w:rsidRDefault="00CD7CFF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>П</w:t>
      </w:r>
      <w:r w:rsidR="00A2641C" w:rsidRPr="00627C47">
        <w:rPr>
          <w:rFonts w:eastAsiaTheme="minorHAnsi"/>
          <w:sz w:val="28"/>
          <w:szCs w:val="28"/>
          <w:lang w:eastAsia="en-US"/>
        </w:rPr>
        <w:t>равительства</w:t>
      </w:r>
    </w:p>
    <w:p w:rsidR="00A2641C" w:rsidRPr="00627C47" w:rsidRDefault="00A2641C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>Астраханской области</w:t>
      </w:r>
    </w:p>
    <w:p w:rsidR="00A2641C" w:rsidRPr="00627C47" w:rsidRDefault="00A2641C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 xml:space="preserve">от </w:t>
      </w:r>
      <w:r w:rsidR="00BE551A" w:rsidRPr="00627C47">
        <w:rPr>
          <w:rFonts w:eastAsiaTheme="minorHAnsi"/>
          <w:sz w:val="28"/>
          <w:szCs w:val="28"/>
          <w:lang w:eastAsia="en-US"/>
        </w:rPr>
        <w:t xml:space="preserve">              </w:t>
      </w:r>
      <w:r w:rsidR="00502D32" w:rsidRPr="00627C47">
        <w:rPr>
          <w:rFonts w:eastAsiaTheme="minorHAnsi"/>
          <w:sz w:val="28"/>
          <w:szCs w:val="28"/>
          <w:lang w:eastAsia="en-US"/>
        </w:rPr>
        <w:t xml:space="preserve">   </w:t>
      </w:r>
      <w:r w:rsidR="00BE551A" w:rsidRPr="00627C47">
        <w:rPr>
          <w:rFonts w:eastAsiaTheme="minorHAnsi"/>
          <w:sz w:val="28"/>
          <w:szCs w:val="28"/>
          <w:lang w:eastAsia="en-US"/>
        </w:rPr>
        <w:t xml:space="preserve">      </w:t>
      </w:r>
      <w:r w:rsidR="000B4F33" w:rsidRPr="00627C47">
        <w:rPr>
          <w:rFonts w:eastAsiaTheme="minorHAnsi"/>
          <w:sz w:val="28"/>
          <w:szCs w:val="28"/>
          <w:lang w:eastAsia="en-US"/>
        </w:rPr>
        <w:t xml:space="preserve">  </w:t>
      </w:r>
      <w:r w:rsidRPr="00627C47">
        <w:rPr>
          <w:rFonts w:eastAsiaTheme="minorHAnsi"/>
          <w:sz w:val="28"/>
          <w:szCs w:val="28"/>
          <w:lang w:eastAsia="en-US"/>
        </w:rPr>
        <w:t xml:space="preserve"> № </w:t>
      </w:r>
      <w:r w:rsidR="00BE551A" w:rsidRPr="00627C47">
        <w:rPr>
          <w:rFonts w:eastAsiaTheme="minorHAnsi"/>
          <w:sz w:val="28"/>
          <w:szCs w:val="28"/>
          <w:lang w:eastAsia="en-US"/>
        </w:rPr>
        <w:t xml:space="preserve">             </w:t>
      </w:r>
    </w:p>
    <w:p w:rsidR="00CD7CFF" w:rsidRPr="00627C47" w:rsidRDefault="00CD7CFF" w:rsidP="00870469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D5585" w:rsidRPr="00BD5585" w:rsidRDefault="00BD5585" w:rsidP="00BD5585">
      <w:pPr>
        <w:widowControl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D5585">
        <w:rPr>
          <w:rFonts w:eastAsiaTheme="minorHAnsi"/>
          <w:bCs/>
          <w:sz w:val="28"/>
          <w:szCs w:val="28"/>
          <w:lang w:eastAsia="en-US"/>
        </w:rPr>
        <w:t>Тарифы на перемещение и хранение задержанных</w:t>
      </w:r>
    </w:p>
    <w:p w:rsidR="00A2641C" w:rsidRPr="00627C47" w:rsidRDefault="00BD5585" w:rsidP="00BD5585">
      <w:pPr>
        <w:widowControl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D5585">
        <w:rPr>
          <w:rFonts w:eastAsiaTheme="minorHAnsi"/>
          <w:bCs/>
          <w:sz w:val="28"/>
          <w:szCs w:val="28"/>
          <w:lang w:eastAsia="en-US"/>
        </w:rPr>
        <w:t>тран</w:t>
      </w:r>
      <w:bookmarkStart w:id="0" w:name="_GoBack"/>
      <w:bookmarkEnd w:id="0"/>
      <w:r w:rsidRPr="00BD5585">
        <w:rPr>
          <w:rFonts w:eastAsiaTheme="minorHAnsi"/>
          <w:bCs/>
          <w:sz w:val="28"/>
          <w:szCs w:val="28"/>
          <w:lang w:eastAsia="en-US"/>
        </w:rPr>
        <w:t>спортных средств на 202</w:t>
      </w:r>
      <w:r>
        <w:rPr>
          <w:rFonts w:eastAsiaTheme="minorHAnsi"/>
          <w:bCs/>
          <w:sz w:val="28"/>
          <w:szCs w:val="28"/>
          <w:lang w:eastAsia="en-US"/>
        </w:rPr>
        <w:t>3-2025</w:t>
      </w:r>
      <w:r w:rsidRPr="00BD5585">
        <w:rPr>
          <w:rFonts w:eastAsiaTheme="minorHAnsi"/>
          <w:bCs/>
          <w:sz w:val="28"/>
          <w:szCs w:val="28"/>
          <w:lang w:eastAsia="en-US"/>
        </w:rPr>
        <w:t xml:space="preserve"> г</w:t>
      </w:r>
      <w:r>
        <w:rPr>
          <w:rFonts w:eastAsiaTheme="minorHAnsi"/>
          <w:bCs/>
          <w:sz w:val="28"/>
          <w:szCs w:val="28"/>
          <w:lang w:eastAsia="en-US"/>
        </w:rPr>
        <w:t>г.</w:t>
      </w:r>
    </w:p>
    <w:p w:rsidR="00BE551A" w:rsidRPr="00627C47" w:rsidRDefault="00BE551A" w:rsidP="00870469">
      <w:pPr>
        <w:widowControl w:val="0"/>
        <w:jc w:val="center"/>
        <w:rPr>
          <w:sz w:val="28"/>
          <w:szCs w:val="28"/>
        </w:rPr>
      </w:pP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152"/>
        <w:gridCol w:w="1998"/>
        <w:gridCol w:w="1772"/>
        <w:gridCol w:w="1544"/>
      </w:tblGrid>
      <w:tr w:rsidR="008C1165" w:rsidRPr="00627C47" w:rsidTr="00BD5585">
        <w:trPr>
          <w:jc w:val="center"/>
        </w:trPr>
        <w:tc>
          <w:tcPr>
            <w:tcW w:w="598" w:type="dxa"/>
            <w:vMerge w:val="restart"/>
            <w:vAlign w:val="center"/>
          </w:tcPr>
          <w:p w:rsidR="00DD22F9" w:rsidRPr="00627C47" w:rsidRDefault="00DD22F9" w:rsidP="00BD5585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№ п/п</w:t>
            </w:r>
          </w:p>
        </w:tc>
        <w:tc>
          <w:tcPr>
            <w:tcW w:w="3077" w:type="dxa"/>
            <w:vMerge w:val="restart"/>
            <w:vAlign w:val="center"/>
          </w:tcPr>
          <w:p w:rsidR="00DD22F9" w:rsidRPr="00627C47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Вид транспортного средства</w:t>
            </w:r>
          </w:p>
        </w:tc>
        <w:tc>
          <w:tcPr>
            <w:tcW w:w="5187" w:type="dxa"/>
            <w:gridSpan w:val="3"/>
            <w:vAlign w:val="center"/>
          </w:tcPr>
          <w:p w:rsidR="00DD22F9" w:rsidRPr="00627C47" w:rsidRDefault="00BD5585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У</w:t>
            </w:r>
            <w:r w:rsidR="00DD22F9">
              <w:rPr>
                <w:rFonts w:eastAsiaTheme="minorHAnsi"/>
                <w:bCs/>
                <w:sz w:val="28"/>
                <w:szCs w:val="28"/>
                <w:lang w:eastAsia="en-US"/>
              </w:rPr>
              <w:t>ровень т</w:t>
            </w:r>
            <w:r w:rsidR="00DD22F9" w:rsidRPr="00627C47">
              <w:rPr>
                <w:rFonts w:eastAsiaTheme="minorHAnsi"/>
                <w:bCs/>
                <w:sz w:val="28"/>
                <w:szCs w:val="28"/>
                <w:lang w:eastAsia="en-US"/>
              </w:rPr>
              <w:t>ариф</w:t>
            </w:r>
            <w:r w:rsidR="00DD22F9">
              <w:rPr>
                <w:rFonts w:eastAsiaTheme="minorHAnsi"/>
                <w:bCs/>
                <w:sz w:val="28"/>
                <w:szCs w:val="28"/>
                <w:lang w:eastAsia="en-US"/>
              </w:rPr>
              <w:t>ов</w:t>
            </w:r>
          </w:p>
        </w:tc>
      </w:tr>
      <w:tr w:rsidR="008C1165" w:rsidRPr="00627C47" w:rsidTr="00B179C2">
        <w:trPr>
          <w:trHeight w:val="303"/>
          <w:jc w:val="center"/>
        </w:trPr>
        <w:tc>
          <w:tcPr>
            <w:tcW w:w="598" w:type="dxa"/>
            <w:vMerge/>
            <w:vAlign w:val="center"/>
          </w:tcPr>
          <w:p w:rsidR="00DD22F9" w:rsidRPr="00627C47" w:rsidRDefault="00DD22F9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7" w:type="dxa"/>
            <w:vMerge/>
            <w:vAlign w:val="center"/>
          </w:tcPr>
          <w:p w:rsidR="00DD22F9" w:rsidRPr="00627C47" w:rsidRDefault="00DD22F9" w:rsidP="0087046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680" w:type="dxa"/>
            <w:gridSpan w:val="2"/>
            <w:vAlign w:val="center"/>
          </w:tcPr>
          <w:p w:rsidR="00DD22F9" w:rsidRPr="00627C47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27C47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перемещение</w:t>
            </w:r>
          </w:p>
        </w:tc>
        <w:tc>
          <w:tcPr>
            <w:tcW w:w="1507" w:type="dxa"/>
            <w:vMerge w:val="restart"/>
            <w:vAlign w:val="center"/>
          </w:tcPr>
          <w:p w:rsidR="00DD22F9" w:rsidRPr="00627C47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27C47">
              <w:rPr>
                <w:sz w:val="28"/>
                <w:szCs w:val="28"/>
              </w:rPr>
              <w:t>а хранение, руб./</w:t>
            </w:r>
            <w:r>
              <w:rPr>
                <w:sz w:val="28"/>
                <w:szCs w:val="28"/>
              </w:rPr>
              <w:t>час</w:t>
            </w:r>
          </w:p>
        </w:tc>
      </w:tr>
      <w:tr w:rsidR="008C1165" w:rsidRPr="00627C47" w:rsidTr="00BD5585">
        <w:trPr>
          <w:trHeight w:val="434"/>
          <w:jc w:val="center"/>
        </w:trPr>
        <w:tc>
          <w:tcPr>
            <w:tcW w:w="598" w:type="dxa"/>
            <w:vMerge/>
            <w:vAlign w:val="center"/>
          </w:tcPr>
          <w:p w:rsidR="00DD22F9" w:rsidRPr="00627C47" w:rsidRDefault="00DD22F9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77" w:type="dxa"/>
            <w:vMerge/>
            <w:vAlign w:val="center"/>
          </w:tcPr>
          <w:p w:rsidR="00DD22F9" w:rsidRPr="00627C47" w:rsidRDefault="00DD22F9" w:rsidP="0087046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DD22F9" w:rsidRDefault="00C14EE6" w:rsidP="00870469">
            <w:pPr>
              <w:widowControl w:val="0"/>
              <w:ind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C1165">
              <w:rPr>
                <w:sz w:val="28"/>
                <w:szCs w:val="28"/>
              </w:rPr>
              <w:t>о 15 км включительно, руб. за единицу</w:t>
            </w:r>
          </w:p>
        </w:tc>
        <w:tc>
          <w:tcPr>
            <w:tcW w:w="1730" w:type="dxa"/>
            <w:vAlign w:val="center"/>
          </w:tcPr>
          <w:p w:rsidR="00D115FF" w:rsidRDefault="00C14EE6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C1165">
              <w:rPr>
                <w:sz w:val="28"/>
                <w:szCs w:val="28"/>
              </w:rPr>
              <w:t xml:space="preserve">выше </w:t>
            </w:r>
          </w:p>
          <w:p w:rsidR="00DD22F9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км, </w:t>
            </w:r>
            <w:r w:rsidR="00DD22F9" w:rsidRPr="00627C47">
              <w:rPr>
                <w:sz w:val="28"/>
                <w:szCs w:val="28"/>
              </w:rPr>
              <w:t>руб./км</w:t>
            </w:r>
          </w:p>
        </w:tc>
        <w:tc>
          <w:tcPr>
            <w:tcW w:w="1507" w:type="dxa"/>
            <w:vMerge/>
            <w:vAlign w:val="center"/>
          </w:tcPr>
          <w:p w:rsidR="00DD22F9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05BA0" w:rsidRPr="00627C47" w:rsidTr="00BD5585">
        <w:trPr>
          <w:trHeight w:val="427"/>
          <w:jc w:val="center"/>
        </w:trPr>
        <w:tc>
          <w:tcPr>
            <w:tcW w:w="8862" w:type="dxa"/>
            <w:gridSpan w:val="5"/>
            <w:vAlign w:val="center"/>
          </w:tcPr>
          <w:p w:rsidR="00A05BA0" w:rsidRDefault="00A05BA0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C1165" w:rsidRPr="00627C47" w:rsidTr="00BD5585">
        <w:trPr>
          <w:trHeight w:val="427"/>
          <w:jc w:val="center"/>
        </w:trPr>
        <w:tc>
          <w:tcPr>
            <w:tcW w:w="598" w:type="dxa"/>
            <w:vAlign w:val="center"/>
          </w:tcPr>
          <w:p w:rsidR="008C1165" w:rsidRPr="00627C47" w:rsidRDefault="008C1165" w:rsidP="00BD5585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1.</w:t>
            </w:r>
          </w:p>
        </w:tc>
        <w:tc>
          <w:tcPr>
            <w:tcW w:w="3077" w:type="dxa"/>
            <w:vAlign w:val="center"/>
          </w:tcPr>
          <w:p w:rsidR="008C1165" w:rsidRPr="00627C47" w:rsidRDefault="008C1165" w:rsidP="00870469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Категории А</w:t>
            </w:r>
          </w:p>
        </w:tc>
        <w:tc>
          <w:tcPr>
            <w:tcW w:w="1950" w:type="dxa"/>
            <w:vMerge w:val="restart"/>
            <w:vAlign w:val="center"/>
          </w:tcPr>
          <w:p w:rsidR="008C1165" w:rsidRPr="00627C47" w:rsidRDefault="008C1165" w:rsidP="00CB785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CB7856">
              <w:rPr>
                <w:sz w:val="28"/>
                <w:szCs w:val="28"/>
              </w:rPr>
              <w:t>25</w:t>
            </w:r>
            <w:r w:rsidR="00567277">
              <w:rPr>
                <w:sz w:val="28"/>
                <w:szCs w:val="28"/>
              </w:rPr>
              <w:t>3</w:t>
            </w:r>
          </w:p>
        </w:tc>
        <w:tc>
          <w:tcPr>
            <w:tcW w:w="1730" w:type="dxa"/>
            <w:vMerge w:val="restart"/>
            <w:vAlign w:val="center"/>
          </w:tcPr>
          <w:p w:rsidR="008C1165" w:rsidRPr="00627C47" w:rsidRDefault="008C1165" w:rsidP="00CB785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7856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,</w:t>
            </w:r>
            <w:r w:rsidR="00CB7856">
              <w:rPr>
                <w:sz w:val="28"/>
                <w:szCs w:val="28"/>
              </w:rPr>
              <w:t>67</w:t>
            </w:r>
          </w:p>
        </w:tc>
        <w:tc>
          <w:tcPr>
            <w:tcW w:w="1507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8C1165" w:rsidRPr="00627C47" w:rsidTr="00BD5585">
        <w:trPr>
          <w:jc w:val="center"/>
        </w:trPr>
        <w:tc>
          <w:tcPr>
            <w:tcW w:w="598" w:type="dxa"/>
            <w:vAlign w:val="center"/>
          </w:tcPr>
          <w:p w:rsidR="008C1165" w:rsidRPr="00627C47" w:rsidRDefault="008C1165" w:rsidP="00BD5585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2.</w:t>
            </w:r>
          </w:p>
        </w:tc>
        <w:tc>
          <w:tcPr>
            <w:tcW w:w="3077" w:type="dxa"/>
            <w:vAlign w:val="center"/>
          </w:tcPr>
          <w:p w:rsidR="008C1165" w:rsidRPr="00627C47" w:rsidRDefault="008C1165" w:rsidP="00870469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В и D массой до 3,5 тонны</w:t>
            </w:r>
          </w:p>
        </w:tc>
        <w:tc>
          <w:tcPr>
            <w:tcW w:w="1950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8C1165" w:rsidRPr="00627C47" w:rsidTr="00BD5585">
        <w:trPr>
          <w:jc w:val="center"/>
        </w:trPr>
        <w:tc>
          <w:tcPr>
            <w:tcW w:w="598" w:type="dxa"/>
            <w:vAlign w:val="center"/>
          </w:tcPr>
          <w:p w:rsidR="008C1165" w:rsidRPr="00627C47" w:rsidRDefault="008C1165" w:rsidP="00BD5585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3.</w:t>
            </w:r>
          </w:p>
        </w:tc>
        <w:tc>
          <w:tcPr>
            <w:tcW w:w="3077" w:type="dxa"/>
            <w:vAlign w:val="center"/>
          </w:tcPr>
          <w:p w:rsidR="008C1165" w:rsidRPr="00627C47" w:rsidRDefault="008C1165" w:rsidP="00870469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D массой</w:t>
            </w:r>
            <w:r w:rsidR="000442FD">
              <w:rPr>
                <w:sz w:val="28"/>
                <w:szCs w:val="28"/>
              </w:rPr>
              <w:t xml:space="preserve"> </w:t>
            </w:r>
            <w:r w:rsidRPr="00627C47">
              <w:rPr>
                <w:sz w:val="28"/>
                <w:szCs w:val="28"/>
              </w:rPr>
              <w:t>более 3,5 тонны, С и Е</w:t>
            </w:r>
          </w:p>
        </w:tc>
        <w:tc>
          <w:tcPr>
            <w:tcW w:w="1950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8C1165" w:rsidRPr="00627C47" w:rsidTr="00BD5585">
        <w:trPr>
          <w:jc w:val="center"/>
        </w:trPr>
        <w:tc>
          <w:tcPr>
            <w:tcW w:w="598" w:type="dxa"/>
            <w:vAlign w:val="center"/>
          </w:tcPr>
          <w:p w:rsidR="008C1165" w:rsidRPr="00627C47" w:rsidRDefault="008C1165" w:rsidP="00BD5585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4.</w:t>
            </w:r>
          </w:p>
        </w:tc>
        <w:tc>
          <w:tcPr>
            <w:tcW w:w="3077" w:type="dxa"/>
            <w:vAlign w:val="center"/>
          </w:tcPr>
          <w:p w:rsidR="008C1165" w:rsidRPr="00627C47" w:rsidRDefault="008C1165" w:rsidP="00870469">
            <w:pPr>
              <w:widowControl w:val="0"/>
              <w:ind w:right="-8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Н</w:t>
            </w:r>
            <w:r w:rsidRPr="000442FD">
              <w:rPr>
                <w:spacing w:val="-4"/>
                <w:sz w:val="28"/>
                <w:szCs w:val="28"/>
              </w:rPr>
              <w:t>егабаритные транспортные средства</w:t>
            </w:r>
          </w:p>
        </w:tc>
        <w:tc>
          <w:tcPr>
            <w:tcW w:w="1950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1165">
              <w:rPr>
                <w:sz w:val="28"/>
                <w:szCs w:val="28"/>
              </w:rPr>
              <w:t>02</w:t>
            </w:r>
          </w:p>
        </w:tc>
      </w:tr>
      <w:tr w:rsidR="00BD5585" w:rsidRPr="00627C47" w:rsidTr="00D70C37">
        <w:trPr>
          <w:jc w:val="center"/>
        </w:trPr>
        <w:tc>
          <w:tcPr>
            <w:tcW w:w="8862" w:type="dxa"/>
            <w:gridSpan w:val="5"/>
            <w:vAlign w:val="center"/>
          </w:tcPr>
          <w:p w:rsidR="00BD5585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Категории А</w:t>
            </w:r>
          </w:p>
        </w:tc>
        <w:tc>
          <w:tcPr>
            <w:tcW w:w="1950" w:type="dxa"/>
            <w:vMerge w:val="restart"/>
            <w:vAlign w:val="center"/>
          </w:tcPr>
          <w:p w:rsidR="00BD5585" w:rsidRPr="00627C47" w:rsidRDefault="00632A4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6E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359</w:t>
            </w:r>
          </w:p>
        </w:tc>
        <w:tc>
          <w:tcPr>
            <w:tcW w:w="1730" w:type="dxa"/>
            <w:vMerge w:val="restart"/>
            <w:vAlign w:val="center"/>
          </w:tcPr>
          <w:p w:rsidR="00BD5585" w:rsidRPr="00627C47" w:rsidRDefault="00632A4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151,47</w:t>
            </w:r>
          </w:p>
        </w:tc>
        <w:tc>
          <w:tcPr>
            <w:tcW w:w="1507" w:type="dxa"/>
            <w:vAlign w:val="center"/>
          </w:tcPr>
          <w:p w:rsidR="00BD5585" w:rsidRDefault="00632A4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В и D массой до 3,5 тонны</w:t>
            </w:r>
          </w:p>
        </w:tc>
        <w:tc>
          <w:tcPr>
            <w:tcW w:w="195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BD5585" w:rsidRDefault="00632A4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D массой</w:t>
            </w:r>
            <w:r>
              <w:rPr>
                <w:sz w:val="28"/>
                <w:szCs w:val="28"/>
              </w:rPr>
              <w:t xml:space="preserve"> </w:t>
            </w:r>
            <w:r w:rsidRPr="00627C47">
              <w:rPr>
                <w:sz w:val="28"/>
                <w:szCs w:val="28"/>
              </w:rPr>
              <w:t>более 3,5 тонны, С и Е</w:t>
            </w:r>
          </w:p>
        </w:tc>
        <w:tc>
          <w:tcPr>
            <w:tcW w:w="195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BD5585" w:rsidRDefault="00632A4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ind w:right="-8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Н</w:t>
            </w:r>
            <w:r w:rsidRPr="000442FD">
              <w:rPr>
                <w:spacing w:val="-4"/>
                <w:sz w:val="28"/>
                <w:szCs w:val="28"/>
              </w:rPr>
              <w:t>егабаритные транспортные средства</w:t>
            </w:r>
          </w:p>
        </w:tc>
        <w:tc>
          <w:tcPr>
            <w:tcW w:w="195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BD5585" w:rsidRDefault="00632A4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BD5585" w:rsidRPr="00627C47" w:rsidTr="00D70C37">
        <w:trPr>
          <w:jc w:val="center"/>
        </w:trPr>
        <w:tc>
          <w:tcPr>
            <w:tcW w:w="8862" w:type="dxa"/>
            <w:gridSpan w:val="5"/>
            <w:vAlign w:val="center"/>
          </w:tcPr>
          <w:p w:rsidR="00BD5585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Категории А</w:t>
            </w:r>
          </w:p>
        </w:tc>
        <w:tc>
          <w:tcPr>
            <w:tcW w:w="1950" w:type="dxa"/>
            <w:vMerge w:val="restart"/>
            <w:vAlign w:val="center"/>
          </w:tcPr>
          <w:p w:rsidR="00BD5585" w:rsidRPr="00627C47" w:rsidRDefault="00632A4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6E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453</w:t>
            </w:r>
          </w:p>
        </w:tc>
        <w:tc>
          <w:tcPr>
            <w:tcW w:w="1730" w:type="dxa"/>
            <w:vMerge w:val="restart"/>
            <w:vAlign w:val="center"/>
          </w:tcPr>
          <w:p w:rsidR="00BD5585" w:rsidRPr="00627C47" w:rsidRDefault="00632A4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157,53</w:t>
            </w:r>
          </w:p>
        </w:tc>
        <w:tc>
          <w:tcPr>
            <w:tcW w:w="1507" w:type="dxa"/>
            <w:vAlign w:val="center"/>
          </w:tcPr>
          <w:p w:rsidR="00BD5585" w:rsidRDefault="00632A4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37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В и D массой до 3,5 тонны</w:t>
            </w:r>
          </w:p>
        </w:tc>
        <w:tc>
          <w:tcPr>
            <w:tcW w:w="195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BD5585" w:rsidRDefault="00632A4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D массой</w:t>
            </w:r>
            <w:r>
              <w:rPr>
                <w:sz w:val="28"/>
                <w:szCs w:val="28"/>
              </w:rPr>
              <w:t xml:space="preserve"> </w:t>
            </w:r>
            <w:r w:rsidRPr="00627C47">
              <w:rPr>
                <w:sz w:val="28"/>
                <w:szCs w:val="28"/>
              </w:rPr>
              <w:t>более 3,5 тонны, С и Е</w:t>
            </w:r>
          </w:p>
        </w:tc>
        <w:tc>
          <w:tcPr>
            <w:tcW w:w="195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BD5585" w:rsidRDefault="00632A4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BD5585" w:rsidRPr="00627C47" w:rsidTr="00BD5585">
        <w:trPr>
          <w:jc w:val="center"/>
        </w:trPr>
        <w:tc>
          <w:tcPr>
            <w:tcW w:w="598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077" w:type="dxa"/>
            <w:vAlign w:val="center"/>
          </w:tcPr>
          <w:p w:rsidR="00BD5585" w:rsidRPr="00627C47" w:rsidRDefault="00BD5585" w:rsidP="00BD5585">
            <w:pPr>
              <w:widowControl w:val="0"/>
              <w:ind w:right="-8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Н</w:t>
            </w:r>
            <w:r w:rsidRPr="000442FD">
              <w:rPr>
                <w:spacing w:val="-4"/>
                <w:sz w:val="28"/>
                <w:szCs w:val="28"/>
              </w:rPr>
              <w:t>егабаритные транспортные средства</w:t>
            </w:r>
          </w:p>
        </w:tc>
        <w:tc>
          <w:tcPr>
            <w:tcW w:w="195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BD5585" w:rsidRDefault="00632A4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</w:tr>
    </w:tbl>
    <w:p w:rsidR="00315B8F" w:rsidRPr="00C14EE6" w:rsidRDefault="00315B8F" w:rsidP="00870469">
      <w:pPr>
        <w:widowControl w:val="0"/>
        <w:ind w:left="1200"/>
        <w:rPr>
          <w:sz w:val="28"/>
          <w:szCs w:val="28"/>
        </w:rPr>
      </w:pPr>
    </w:p>
    <w:p w:rsidR="00003B2C" w:rsidRPr="00C14EE6" w:rsidRDefault="00003B2C" w:rsidP="00870469">
      <w:pPr>
        <w:widowControl w:val="0"/>
        <w:ind w:left="1200"/>
        <w:rPr>
          <w:sz w:val="28"/>
          <w:szCs w:val="28"/>
        </w:rPr>
      </w:pPr>
    </w:p>
    <w:p w:rsidR="00003B2C" w:rsidRPr="00C14EE6" w:rsidRDefault="00003B2C" w:rsidP="00870469">
      <w:pPr>
        <w:widowControl w:val="0"/>
        <w:ind w:left="1200"/>
        <w:rPr>
          <w:sz w:val="28"/>
          <w:szCs w:val="28"/>
        </w:rPr>
      </w:pPr>
    </w:p>
    <w:p w:rsidR="00A2641C" w:rsidRPr="00F27DA2" w:rsidRDefault="00A2641C" w:rsidP="00870469">
      <w:pPr>
        <w:widowControl w:val="0"/>
        <w:tabs>
          <w:tab w:val="left" w:pos="5220"/>
        </w:tabs>
        <w:adjustRightInd w:val="0"/>
        <w:spacing w:line="360" w:lineRule="auto"/>
        <w:ind w:right="-143"/>
        <w:jc w:val="both"/>
        <w:outlineLvl w:val="0"/>
        <w:rPr>
          <w:sz w:val="28"/>
          <w:szCs w:val="28"/>
        </w:rPr>
      </w:pPr>
      <w:r w:rsidRPr="00F27DA2">
        <w:rPr>
          <w:sz w:val="28"/>
          <w:szCs w:val="28"/>
        </w:rPr>
        <w:t xml:space="preserve">Верно: </w:t>
      </w:r>
    </w:p>
    <w:sectPr w:rsidR="00A2641C" w:rsidRPr="00F27DA2" w:rsidSect="0046151D">
      <w:pgSz w:w="11906" w:h="16838"/>
      <w:pgMar w:top="1134" w:right="567" w:bottom="1134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9C2" w:rsidRDefault="00B179C2" w:rsidP="00D968B3">
      <w:r>
        <w:separator/>
      </w:r>
    </w:p>
  </w:endnote>
  <w:endnote w:type="continuationSeparator" w:id="0">
    <w:p w:rsidR="00B179C2" w:rsidRDefault="00B179C2" w:rsidP="00D9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9C2" w:rsidRDefault="00B179C2" w:rsidP="00D968B3">
      <w:r>
        <w:separator/>
      </w:r>
    </w:p>
  </w:footnote>
  <w:footnote w:type="continuationSeparator" w:id="0">
    <w:p w:rsidR="00B179C2" w:rsidRDefault="00B179C2" w:rsidP="00D9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969080"/>
      <w:docPartObj>
        <w:docPartGallery w:val="Page Numbers (Top of Page)"/>
        <w:docPartUnique/>
      </w:docPartObj>
    </w:sdtPr>
    <w:sdtEndPr/>
    <w:sdtContent>
      <w:p w:rsidR="00B179C2" w:rsidRDefault="00B179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3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79C2" w:rsidRDefault="00B179C2" w:rsidP="0081306D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9C2" w:rsidRDefault="00B179C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C52"/>
    <w:multiLevelType w:val="hybridMultilevel"/>
    <w:tmpl w:val="4B847FBE"/>
    <w:lvl w:ilvl="0" w:tplc="F1D03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F810D2"/>
    <w:multiLevelType w:val="hybridMultilevel"/>
    <w:tmpl w:val="8B12A2E6"/>
    <w:lvl w:ilvl="0" w:tplc="2A36BC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A25EB6"/>
    <w:multiLevelType w:val="hybridMultilevel"/>
    <w:tmpl w:val="4AAE5574"/>
    <w:lvl w:ilvl="0" w:tplc="85548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7515EB"/>
    <w:multiLevelType w:val="hybridMultilevel"/>
    <w:tmpl w:val="C9A8CA40"/>
    <w:lvl w:ilvl="0" w:tplc="0638D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A2BA0"/>
    <w:multiLevelType w:val="hybridMultilevel"/>
    <w:tmpl w:val="287A1512"/>
    <w:lvl w:ilvl="0" w:tplc="1F7C2D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7E5F01"/>
    <w:multiLevelType w:val="hybridMultilevel"/>
    <w:tmpl w:val="4B16F5B0"/>
    <w:lvl w:ilvl="0" w:tplc="703E8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9A"/>
    <w:rsid w:val="00001FDC"/>
    <w:rsid w:val="00003B2C"/>
    <w:rsid w:val="0000593B"/>
    <w:rsid w:val="000077EC"/>
    <w:rsid w:val="000138FA"/>
    <w:rsid w:val="000212CA"/>
    <w:rsid w:val="00021E1D"/>
    <w:rsid w:val="000344CB"/>
    <w:rsid w:val="00043C82"/>
    <w:rsid w:val="000442FD"/>
    <w:rsid w:val="000512AF"/>
    <w:rsid w:val="00066E2B"/>
    <w:rsid w:val="00067333"/>
    <w:rsid w:val="00075D66"/>
    <w:rsid w:val="0009101C"/>
    <w:rsid w:val="00097E2F"/>
    <w:rsid w:val="000A623F"/>
    <w:rsid w:val="000A7995"/>
    <w:rsid w:val="000B0304"/>
    <w:rsid w:val="000B4F33"/>
    <w:rsid w:val="000C6175"/>
    <w:rsid w:val="000D12BF"/>
    <w:rsid w:val="000E49CE"/>
    <w:rsid w:val="0010245A"/>
    <w:rsid w:val="001042E9"/>
    <w:rsid w:val="00117BDD"/>
    <w:rsid w:val="0012288F"/>
    <w:rsid w:val="0013775F"/>
    <w:rsid w:val="001446F3"/>
    <w:rsid w:val="00160C19"/>
    <w:rsid w:val="00161226"/>
    <w:rsid w:val="001829CC"/>
    <w:rsid w:val="0018565F"/>
    <w:rsid w:val="00185D89"/>
    <w:rsid w:val="00193B82"/>
    <w:rsid w:val="00194E93"/>
    <w:rsid w:val="0019565F"/>
    <w:rsid w:val="001C65E7"/>
    <w:rsid w:val="001D134B"/>
    <w:rsid w:val="001D22DB"/>
    <w:rsid w:val="00205126"/>
    <w:rsid w:val="002207A0"/>
    <w:rsid w:val="00240705"/>
    <w:rsid w:val="002418AB"/>
    <w:rsid w:val="00243A85"/>
    <w:rsid w:val="00266AE4"/>
    <w:rsid w:val="00271791"/>
    <w:rsid w:val="002723AD"/>
    <w:rsid w:val="00284410"/>
    <w:rsid w:val="00285AD8"/>
    <w:rsid w:val="00291432"/>
    <w:rsid w:val="002940F2"/>
    <w:rsid w:val="002C79F7"/>
    <w:rsid w:val="002D6119"/>
    <w:rsid w:val="002F13DC"/>
    <w:rsid w:val="0030556B"/>
    <w:rsid w:val="00314B24"/>
    <w:rsid w:val="00315B8F"/>
    <w:rsid w:val="00315D9F"/>
    <w:rsid w:val="00321E62"/>
    <w:rsid w:val="00324E07"/>
    <w:rsid w:val="00336BA2"/>
    <w:rsid w:val="00343A6B"/>
    <w:rsid w:val="0034762C"/>
    <w:rsid w:val="00347BD7"/>
    <w:rsid w:val="003562FC"/>
    <w:rsid w:val="00373A77"/>
    <w:rsid w:val="00373AB1"/>
    <w:rsid w:val="00376DDB"/>
    <w:rsid w:val="003774AE"/>
    <w:rsid w:val="003839CB"/>
    <w:rsid w:val="00386501"/>
    <w:rsid w:val="003A1388"/>
    <w:rsid w:val="003C232A"/>
    <w:rsid w:val="003F11FC"/>
    <w:rsid w:val="00432E57"/>
    <w:rsid w:val="0043337E"/>
    <w:rsid w:val="00435169"/>
    <w:rsid w:val="00436071"/>
    <w:rsid w:val="0043676B"/>
    <w:rsid w:val="00443A5D"/>
    <w:rsid w:val="00446F14"/>
    <w:rsid w:val="0045708B"/>
    <w:rsid w:val="0046151D"/>
    <w:rsid w:val="00472CFE"/>
    <w:rsid w:val="00474BCB"/>
    <w:rsid w:val="00475024"/>
    <w:rsid w:val="004820A0"/>
    <w:rsid w:val="004900D3"/>
    <w:rsid w:val="00495BB4"/>
    <w:rsid w:val="004A4F2C"/>
    <w:rsid w:val="004B148F"/>
    <w:rsid w:val="004B6D33"/>
    <w:rsid w:val="004C722C"/>
    <w:rsid w:val="0050002C"/>
    <w:rsid w:val="00502D32"/>
    <w:rsid w:val="005059EF"/>
    <w:rsid w:val="0051773B"/>
    <w:rsid w:val="00525FEC"/>
    <w:rsid w:val="00532EB4"/>
    <w:rsid w:val="00540EF8"/>
    <w:rsid w:val="00542AE9"/>
    <w:rsid w:val="00545545"/>
    <w:rsid w:val="00545DF4"/>
    <w:rsid w:val="005467CC"/>
    <w:rsid w:val="005516D7"/>
    <w:rsid w:val="00552CFE"/>
    <w:rsid w:val="00556B45"/>
    <w:rsid w:val="005648E8"/>
    <w:rsid w:val="00567277"/>
    <w:rsid w:val="005723BE"/>
    <w:rsid w:val="00586491"/>
    <w:rsid w:val="00592C55"/>
    <w:rsid w:val="00595DFC"/>
    <w:rsid w:val="005A71F8"/>
    <w:rsid w:val="005B1B1B"/>
    <w:rsid w:val="005C1C3C"/>
    <w:rsid w:val="005D3644"/>
    <w:rsid w:val="00605BA0"/>
    <w:rsid w:val="00607ADF"/>
    <w:rsid w:val="006277F5"/>
    <w:rsid w:val="00627C47"/>
    <w:rsid w:val="00632A41"/>
    <w:rsid w:val="0063370F"/>
    <w:rsid w:val="0064587D"/>
    <w:rsid w:val="00667E1B"/>
    <w:rsid w:val="00673FD6"/>
    <w:rsid w:val="006A1D7D"/>
    <w:rsid w:val="006B254B"/>
    <w:rsid w:val="006B384C"/>
    <w:rsid w:val="006D166C"/>
    <w:rsid w:val="006D4509"/>
    <w:rsid w:val="006D59B4"/>
    <w:rsid w:val="006E6C75"/>
    <w:rsid w:val="006F28CB"/>
    <w:rsid w:val="00701537"/>
    <w:rsid w:val="00703F7A"/>
    <w:rsid w:val="00704AD5"/>
    <w:rsid w:val="00710EA8"/>
    <w:rsid w:val="00716AE5"/>
    <w:rsid w:val="00735E5B"/>
    <w:rsid w:val="00741F13"/>
    <w:rsid w:val="00743554"/>
    <w:rsid w:val="00750722"/>
    <w:rsid w:val="00761D58"/>
    <w:rsid w:val="00763EAA"/>
    <w:rsid w:val="00764A4E"/>
    <w:rsid w:val="007674C9"/>
    <w:rsid w:val="00774EAC"/>
    <w:rsid w:val="007814C1"/>
    <w:rsid w:val="0079328A"/>
    <w:rsid w:val="007A131F"/>
    <w:rsid w:val="007A358F"/>
    <w:rsid w:val="007C2484"/>
    <w:rsid w:val="007C2BB9"/>
    <w:rsid w:val="007E17E7"/>
    <w:rsid w:val="007E68B5"/>
    <w:rsid w:val="007F0354"/>
    <w:rsid w:val="007F212D"/>
    <w:rsid w:val="00803745"/>
    <w:rsid w:val="008037AE"/>
    <w:rsid w:val="00811247"/>
    <w:rsid w:val="0081306D"/>
    <w:rsid w:val="00816A1E"/>
    <w:rsid w:val="00835F5F"/>
    <w:rsid w:val="00842076"/>
    <w:rsid w:val="00842107"/>
    <w:rsid w:val="00851CD4"/>
    <w:rsid w:val="008525FC"/>
    <w:rsid w:val="00853856"/>
    <w:rsid w:val="00857B67"/>
    <w:rsid w:val="0086047E"/>
    <w:rsid w:val="00870469"/>
    <w:rsid w:val="0087359A"/>
    <w:rsid w:val="008943D0"/>
    <w:rsid w:val="008B0975"/>
    <w:rsid w:val="008C1165"/>
    <w:rsid w:val="008C3C60"/>
    <w:rsid w:val="008D61F2"/>
    <w:rsid w:val="008D7E47"/>
    <w:rsid w:val="008E318F"/>
    <w:rsid w:val="008E6CDB"/>
    <w:rsid w:val="0091225E"/>
    <w:rsid w:val="00912A78"/>
    <w:rsid w:val="00920CAD"/>
    <w:rsid w:val="00931EF2"/>
    <w:rsid w:val="00933BF0"/>
    <w:rsid w:val="009355FB"/>
    <w:rsid w:val="00956929"/>
    <w:rsid w:val="00957F38"/>
    <w:rsid w:val="00960E93"/>
    <w:rsid w:val="0096275A"/>
    <w:rsid w:val="00996201"/>
    <w:rsid w:val="009A5D0F"/>
    <w:rsid w:val="009B0F2F"/>
    <w:rsid w:val="009C2A38"/>
    <w:rsid w:val="009C72F6"/>
    <w:rsid w:val="009D6A5D"/>
    <w:rsid w:val="009D7E13"/>
    <w:rsid w:val="00A05BA0"/>
    <w:rsid w:val="00A2641C"/>
    <w:rsid w:val="00A374B6"/>
    <w:rsid w:val="00A54C99"/>
    <w:rsid w:val="00A6231D"/>
    <w:rsid w:val="00A672D6"/>
    <w:rsid w:val="00A716FA"/>
    <w:rsid w:val="00A73CBE"/>
    <w:rsid w:val="00A74F1A"/>
    <w:rsid w:val="00A85DB9"/>
    <w:rsid w:val="00A9069D"/>
    <w:rsid w:val="00AB1090"/>
    <w:rsid w:val="00AB501D"/>
    <w:rsid w:val="00AC1A6C"/>
    <w:rsid w:val="00AC5BD2"/>
    <w:rsid w:val="00AD3C5B"/>
    <w:rsid w:val="00AD570E"/>
    <w:rsid w:val="00AE4B9A"/>
    <w:rsid w:val="00AE5A14"/>
    <w:rsid w:val="00AF2EB1"/>
    <w:rsid w:val="00B00A29"/>
    <w:rsid w:val="00B019BD"/>
    <w:rsid w:val="00B05D4C"/>
    <w:rsid w:val="00B12660"/>
    <w:rsid w:val="00B179C2"/>
    <w:rsid w:val="00B339CE"/>
    <w:rsid w:val="00B40C37"/>
    <w:rsid w:val="00B41E60"/>
    <w:rsid w:val="00B47011"/>
    <w:rsid w:val="00B524F3"/>
    <w:rsid w:val="00B805F5"/>
    <w:rsid w:val="00B80C28"/>
    <w:rsid w:val="00B93236"/>
    <w:rsid w:val="00BA002E"/>
    <w:rsid w:val="00BA3E2F"/>
    <w:rsid w:val="00BB31D1"/>
    <w:rsid w:val="00BB3A53"/>
    <w:rsid w:val="00BC037D"/>
    <w:rsid w:val="00BC72B6"/>
    <w:rsid w:val="00BD2EDC"/>
    <w:rsid w:val="00BD5585"/>
    <w:rsid w:val="00BD5EC4"/>
    <w:rsid w:val="00BE1432"/>
    <w:rsid w:val="00BE551A"/>
    <w:rsid w:val="00BE6600"/>
    <w:rsid w:val="00C07C8B"/>
    <w:rsid w:val="00C07D4D"/>
    <w:rsid w:val="00C14EE6"/>
    <w:rsid w:val="00C1579E"/>
    <w:rsid w:val="00C15C60"/>
    <w:rsid w:val="00C24421"/>
    <w:rsid w:val="00C3078C"/>
    <w:rsid w:val="00C429F5"/>
    <w:rsid w:val="00C449B2"/>
    <w:rsid w:val="00C53056"/>
    <w:rsid w:val="00C541D6"/>
    <w:rsid w:val="00C64395"/>
    <w:rsid w:val="00C749DD"/>
    <w:rsid w:val="00C82F5C"/>
    <w:rsid w:val="00C933E1"/>
    <w:rsid w:val="00C96EBF"/>
    <w:rsid w:val="00CB7856"/>
    <w:rsid w:val="00CC793A"/>
    <w:rsid w:val="00CD2150"/>
    <w:rsid w:val="00CD26A1"/>
    <w:rsid w:val="00CD6C46"/>
    <w:rsid w:val="00CD7CFF"/>
    <w:rsid w:val="00D029E5"/>
    <w:rsid w:val="00D10B6D"/>
    <w:rsid w:val="00D115FF"/>
    <w:rsid w:val="00D268D1"/>
    <w:rsid w:val="00D32D63"/>
    <w:rsid w:val="00D34C5E"/>
    <w:rsid w:val="00D415E0"/>
    <w:rsid w:val="00D41681"/>
    <w:rsid w:val="00D53112"/>
    <w:rsid w:val="00D55E47"/>
    <w:rsid w:val="00D6176F"/>
    <w:rsid w:val="00D70C37"/>
    <w:rsid w:val="00D750BF"/>
    <w:rsid w:val="00D7769C"/>
    <w:rsid w:val="00D842A8"/>
    <w:rsid w:val="00D843C4"/>
    <w:rsid w:val="00D85658"/>
    <w:rsid w:val="00D968B3"/>
    <w:rsid w:val="00D971AC"/>
    <w:rsid w:val="00DA04BB"/>
    <w:rsid w:val="00DA2CA8"/>
    <w:rsid w:val="00DB35C4"/>
    <w:rsid w:val="00DC5813"/>
    <w:rsid w:val="00DD22F9"/>
    <w:rsid w:val="00DD3A68"/>
    <w:rsid w:val="00DF2012"/>
    <w:rsid w:val="00E03E00"/>
    <w:rsid w:val="00E171B9"/>
    <w:rsid w:val="00E35866"/>
    <w:rsid w:val="00E364EF"/>
    <w:rsid w:val="00E477C8"/>
    <w:rsid w:val="00E5003E"/>
    <w:rsid w:val="00E57C4B"/>
    <w:rsid w:val="00E62A83"/>
    <w:rsid w:val="00E650E0"/>
    <w:rsid w:val="00E74A8E"/>
    <w:rsid w:val="00E75333"/>
    <w:rsid w:val="00E82207"/>
    <w:rsid w:val="00E964F8"/>
    <w:rsid w:val="00EA1E69"/>
    <w:rsid w:val="00EB5D37"/>
    <w:rsid w:val="00ED45AB"/>
    <w:rsid w:val="00EE7E97"/>
    <w:rsid w:val="00EF4402"/>
    <w:rsid w:val="00EF6AF7"/>
    <w:rsid w:val="00F01914"/>
    <w:rsid w:val="00F04E96"/>
    <w:rsid w:val="00F06523"/>
    <w:rsid w:val="00F078DF"/>
    <w:rsid w:val="00F27DA2"/>
    <w:rsid w:val="00F31091"/>
    <w:rsid w:val="00F31904"/>
    <w:rsid w:val="00F36BBD"/>
    <w:rsid w:val="00F42A21"/>
    <w:rsid w:val="00F63378"/>
    <w:rsid w:val="00F6450F"/>
    <w:rsid w:val="00F83087"/>
    <w:rsid w:val="00FA04C5"/>
    <w:rsid w:val="00FA4E05"/>
    <w:rsid w:val="00FA5FDF"/>
    <w:rsid w:val="00FA670F"/>
    <w:rsid w:val="00FB4B20"/>
    <w:rsid w:val="00FB6C48"/>
    <w:rsid w:val="00FD0367"/>
    <w:rsid w:val="00FD0D1D"/>
    <w:rsid w:val="00FD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7404299"/>
  <w15:docId w15:val="{5F291BB0-79EC-4ACA-8265-D530EE94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66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19BD"/>
    <w:pPr>
      <w:ind w:left="720"/>
      <w:contextualSpacing/>
    </w:pPr>
  </w:style>
  <w:style w:type="paragraph" w:customStyle="1" w:styleId="ConsPlusNonformat">
    <w:name w:val="ConsPlusNonformat"/>
    <w:uiPriority w:val="99"/>
    <w:rsid w:val="00A2641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000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02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27C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968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68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61D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1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F3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4C50-D2C6-4C34-87EF-3092F8BD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Юлия Сергеевна</dc:creator>
  <cp:keywords/>
  <cp:lastModifiedBy>Лебедева Юлия Сергеевна</cp:lastModifiedBy>
  <cp:revision>9</cp:revision>
  <cp:lastPrinted>2022-11-23T10:07:00Z</cp:lastPrinted>
  <dcterms:created xsi:type="dcterms:W3CDTF">2022-11-22T06:33:00Z</dcterms:created>
  <dcterms:modified xsi:type="dcterms:W3CDTF">2022-11-23T10:07:00Z</dcterms:modified>
</cp:coreProperties>
</file>